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93" w:rsidRPr="00F62E2A" w:rsidRDefault="00CD432F" w:rsidP="00F62E2A">
      <w:pPr>
        <w:jc w:val="center"/>
        <w:rPr>
          <w:b/>
          <w:sz w:val="28"/>
          <w:szCs w:val="28"/>
          <w:u w:val="single"/>
        </w:rPr>
      </w:pPr>
      <w:r w:rsidRPr="00F85A12">
        <w:rPr>
          <w:b/>
          <w:sz w:val="28"/>
          <w:szCs w:val="28"/>
          <w:u w:val="single"/>
        </w:rPr>
        <w:t xml:space="preserve">Craven Local Plan: </w:t>
      </w:r>
      <w:r w:rsidR="00F85A12" w:rsidRPr="00F85A12">
        <w:rPr>
          <w:b/>
          <w:sz w:val="28"/>
          <w:szCs w:val="28"/>
          <w:u w:val="single"/>
        </w:rPr>
        <w:t xml:space="preserve">Residential </w:t>
      </w:r>
      <w:r w:rsidRPr="00F85A12">
        <w:rPr>
          <w:b/>
          <w:sz w:val="28"/>
          <w:szCs w:val="28"/>
          <w:u w:val="single"/>
        </w:rPr>
        <w:t>Site Selection Process</w:t>
      </w:r>
    </w:p>
    <w:p w:rsidR="00A247DF" w:rsidRDefault="00CD432F" w:rsidP="00CD432F">
      <w:pPr>
        <w:rPr>
          <w:sz w:val="24"/>
          <w:szCs w:val="24"/>
        </w:rPr>
      </w:pPr>
      <w:r>
        <w:rPr>
          <w:b/>
          <w:sz w:val="24"/>
          <w:szCs w:val="24"/>
        </w:rPr>
        <w:t xml:space="preserve">Settlement Name: </w:t>
      </w:r>
      <w:r w:rsidR="00A247DF">
        <w:rPr>
          <w:sz w:val="24"/>
          <w:szCs w:val="24"/>
        </w:rPr>
        <w:t xml:space="preserve">Cononley </w:t>
      </w:r>
    </w:p>
    <w:p w:rsidR="00F62E2A" w:rsidRPr="00234237" w:rsidRDefault="00CD432F" w:rsidP="00CD432F">
      <w:pPr>
        <w:rPr>
          <w:sz w:val="24"/>
          <w:szCs w:val="24"/>
        </w:rPr>
      </w:pPr>
      <w:r>
        <w:rPr>
          <w:b/>
          <w:sz w:val="24"/>
          <w:szCs w:val="24"/>
        </w:rPr>
        <w:t xml:space="preserve">Site Number and Address: </w:t>
      </w:r>
      <w:r w:rsidR="00234237">
        <w:rPr>
          <w:sz w:val="24"/>
          <w:szCs w:val="24"/>
        </w:rPr>
        <w:t>CN006; Station</w:t>
      </w:r>
      <w:r w:rsidR="005B1783">
        <w:rPr>
          <w:sz w:val="24"/>
          <w:szCs w:val="24"/>
        </w:rPr>
        <w:t xml:space="preserve"> Works, north of </w:t>
      </w:r>
      <w:proofErr w:type="spellStart"/>
      <w:r w:rsidR="005B1783">
        <w:rPr>
          <w:sz w:val="24"/>
          <w:szCs w:val="24"/>
        </w:rPr>
        <w:t>Cononley</w:t>
      </w:r>
      <w:proofErr w:type="spellEnd"/>
      <w:r w:rsidR="005B1783">
        <w:rPr>
          <w:sz w:val="24"/>
          <w:szCs w:val="24"/>
        </w:rPr>
        <w:t xml:space="preserve"> Lane</w:t>
      </w:r>
    </w:p>
    <w:p w:rsidR="00CD432F" w:rsidRPr="00776515" w:rsidRDefault="00CD432F">
      <w:pPr>
        <w:rPr>
          <w:b/>
          <w:sz w:val="24"/>
          <w:szCs w:val="24"/>
          <w:u w:val="single"/>
        </w:rPr>
      </w:pPr>
      <w:r w:rsidRPr="00776515">
        <w:rPr>
          <w:b/>
          <w:sz w:val="24"/>
          <w:szCs w:val="24"/>
          <w:u w:val="single"/>
        </w:rPr>
        <w:t xml:space="preserve">Stage 1: </w:t>
      </w:r>
      <w:r w:rsidR="00192716">
        <w:rPr>
          <w:b/>
          <w:sz w:val="24"/>
          <w:szCs w:val="24"/>
          <w:u w:val="single"/>
        </w:rPr>
        <w:t>Settlement</w:t>
      </w:r>
      <w:r w:rsidR="00C1109B" w:rsidRPr="00776515">
        <w:rPr>
          <w:b/>
          <w:sz w:val="24"/>
          <w:szCs w:val="24"/>
          <w:u w:val="single"/>
        </w:rPr>
        <w:t xml:space="preserve"> Level Analysis (</w:t>
      </w:r>
      <w:r w:rsidRPr="00776515">
        <w:rPr>
          <w:b/>
          <w:sz w:val="24"/>
          <w:szCs w:val="24"/>
          <w:u w:val="single"/>
        </w:rPr>
        <w:t>Sustainability Appraisal</w:t>
      </w:r>
      <w:r w:rsidR="00C1109B" w:rsidRPr="00776515">
        <w:rPr>
          <w:b/>
          <w:sz w:val="24"/>
          <w:szCs w:val="24"/>
          <w:u w:val="single"/>
        </w:rPr>
        <w:t>)</w:t>
      </w:r>
    </w:p>
    <w:tbl>
      <w:tblPr>
        <w:tblW w:w="13936" w:type="dxa"/>
        <w:tblInd w:w="93" w:type="dxa"/>
        <w:tblLook w:val="04A0" w:firstRow="1" w:lastRow="0" w:firstColumn="1" w:lastColumn="0" w:noHBand="0" w:noVBand="1"/>
      </w:tblPr>
      <w:tblGrid>
        <w:gridCol w:w="1419"/>
        <w:gridCol w:w="347"/>
        <w:gridCol w:w="347"/>
        <w:gridCol w:w="347"/>
        <w:gridCol w:w="347"/>
        <w:gridCol w:w="347"/>
        <w:gridCol w:w="347"/>
        <w:gridCol w:w="347"/>
        <w:gridCol w:w="351"/>
        <w:gridCol w:w="405"/>
        <w:gridCol w:w="424"/>
        <w:gridCol w:w="424"/>
        <w:gridCol w:w="424"/>
        <w:gridCol w:w="424"/>
        <w:gridCol w:w="424"/>
        <w:gridCol w:w="424"/>
        <w:gridCol w:w="424"/>
        <w:gridCol w:w="424"/>
        <w:gridCol w:w="424"/>
        <w:gridCol w:w="424"/>
        <w:gridCol w:w="424"/>
        <w:gridCol w:w="3092"/>
        <w:gridCol w:w="1576"/>
      </w:tblGrid>
      <w:tr w:rsidR="00A247DF" w:rsidRPr="00E66E27" w:rsidTr="00A247DF">
        <w:trPr>
          <w:trHeight w:val="522"/>
        </w:trPr>
        <w:tc>
          <w:tcPr>
            <w:tcW w:w="141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A247DF" w:rsidRPr="00E66E27" w:rsidRDefault="00A247DF" w:rsidP="00C84203">
            <w:pPr>
              <w:spacing w:after="0" w:line="240" w:lineRule="auto"/>
              <w:rPr>
                <w:rFonts w:ascii="Arial" w:eastAsia="Times New Roman" w:hAnsi="Arial" w:cs="Arial"/>
                <w:bCs/>
                <w:color w:val="000000"/>
                <w:sz w:val="14"/>
                <w:szCs w:val="20"/>
                <w:lang w:eastAsia="en-GB"/>
              </w:rPr>
            </w:pPr>
            <w:r w:rsidRPr="00E66E27">
              <w:rPr>
                <w:rFonts w:ascii="Arial" w:eastAsia="Times New Roman" w:hAnsi="Arial" w:cs="Arial"/>
                <w:bCs/>
                <w:color w:val="000000"/>
                <w:sz w:val="14"/>
                <w:szCs w:val="20"/>
                <w:lang w:eastAsia="en-GB"/>
              </w:rPr>
              <w:t>Site reference, name/address &amp; area</w:t>
            </w:r>
          </w:p>
        </w:tc>
        <w:tc>
          <w:tcPr>
            <w:tcW w:w="347"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A247DF" w:rsidRPr="00481935" w:rsidRDefault="00A247DF" w:rsidP="00C84203">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1</w:t>
            </w:r>
          </w:p>
        </w:tc>
        <w:tc>
          <w:tcPr>
            <w:tcW w:w="347"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A247DF" w:rsidRPr="00481935" w:rsidRDefault="00A247DF" w:rsidP="00C84203">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2</w:t>
            </w:r>
          </w:p>
        </w:tc>
        <w:tc>
          <w:tcPr>
            <w:tcW w:w="347"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A247DF" w:rsidRPr="00481935" w:rsidRDefault="00A247DF" w:rsidP="00C84203">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3</w:t>
            </w:r>
          </w:p>
        </w:tc>
        <w:tc>
          <w:tcPr>
            <w:tcW w:w="347"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A247DF" w:rsidRPr="00481935" w:rsidRDefault="00A247DF" w:rsidP="00C84203">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4</w:t>
            </w:r>
          </w:p>
        </w:tc>
        <w:tc>
          <w:tcPr>
            <w:tcW w:w="347"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A247DF" w:rsidRPr="00481935" w:rsidRDefault="00A247DF" w:rsidP="00C84203">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5</w:t>
            </w:r>
          </w:p>
        </w:tc>
        <w:tc>
          <w:tcPr>
            <w:tcW w:w="347"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A247DF" w:rsidRPr="00481935" w:rsidRDefault="00A247DF" w:rsidP="00C84203">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6</w:t>
            </w:r>
          </w:p>
        </w:tc>
        <w:tc>
          <w:tcPr>
            <w:tcW w:w="347"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A247DF" w:rsidRPr="00481935" w:rsidRDefault="00A247DF" w:rsidP="00C84203">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7</w:t>
            </w:r>
          </w:p>
        </w:tc>
        <w:tc>
          <w:tcPr>
            <w:tcW w:w="351"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A247DF" w:rsidRPr="00481935" w:rsidRDefault="00A247DF" w:rsidP="00C84203">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8</w:t>
            </w:r>
          </w:p>
        </w:tc>
        <w:tc>
          <w:tcPr>
            <w:tcW w:w="405"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A247DF" w:rsidRPr="00481935" w:rsidRDefault="00A247DF" w:rsidP="00C84203">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9</w:t>
            </w:r>
          </w:p>
        </w:tc>
        <w:tc>
          <w:tcPr>
            <w:tcW w:w="424"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A247DF" w:rsidRPr="00481935" w:rsidRDefault="00A247DF" w:rsidP="00C84203">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10</w:t>
            </w:r>
          </w:p>
        </w:tc>
        <w:tc>
          <w:tcPr>
            <w:tcW w:w="424"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A247DF" w:rsidRPr="00481935" w:rsidRDefault="00A247DF" w:rsidP="00C84203">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11</w:t>
            </w:r>
          </w:p>
        </w:tc>
        <w:tc>
          <w:tcPr>
            <w:tcW w:w="424"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A247DF" w:rsidRPr="00481935" w:rsidRDefault="00A247DF" w:rsidP="00C84203">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12</w:t>
            </w:r>
          </w:p>
        </w:tc>
        <w:tc>
          <w:tcPr>
            <w:tcW w:w="424"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A247DF" w:rsidRPr="00481935" w:rsidRDefault="00A247DF" w:rsidP="00C84203">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13</w:t>
            </w:r>
          </w:p>
        </w:tc>
        <w:tc>
          <w:tcPr>
            <w:tcW w:w="424"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A247DF" w:rsidRPr="00481935" w:rsidRDefault="00A247DF" w:rsidP="00C84203">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14</w:t>
            </w:r>
          </w:p>
        </w:tc>
        <w:tc>
          <w:tcPr>
            <w:tcW w:w="424"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A247DF" w:rsidRPr="00481935" w:rsidRDefault="00A247DF" w:rsidP="00C84203">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15</w:t>
            </w:r>
          </w:p>
        </w:tc>
        <w:tc>
          <w:tcPr>
            <w:tcW w:w="424"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A247DF" w:rsidRPr="00481935" w:rsidRDefault="00A247DF" w:rsidP="00C84203">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16</w:t>
            </w:r>
          </w:p>
        </w:tc>
        <w:tc>
          <w:tcPr>
            <w:tcW w:w="424"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A247DF" w:rsidRPr="00481935" w:rsidRDefault="00A247DF" w:rsidP="00C84203">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17</w:t>
            </w:r>
          </w:p>
        </w:tc>
        <w:tc>
          <w:tcPr>
            <w:tcW w:w="424"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A247DF" w:rsidRPr="00481935" w:rsidRDefault="00A247DF" w:rsidP="00C84203">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18</w:t>
            </w:r>
          </w:p>
        </w:tc>
        <w:tc>
          <w:tcPr>
            <w:tcW w:w="424"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A247DF" w:rsidRPr="00481935" w:rsidRDefault="00A247DF" w:rsidP="00C84203">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19</w:t>
            </w:r>
          </w:p>
        </w:tc>
        <w:tc>
          <w:tcPr>
            <w:tcW w:w="424"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A247DF" w:rsidRPr="00481935" w:rsidRDefault="00A247DF" w:rsidP="00C84203">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20</w:t>
            </w:r>
          </w:p>
        </w:tc>
        <w:tc>
          <w:tcPr>
            <w:tcW w:w="3092"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A247DF" w:rsidRPr="00481935" w:rsidRDefault="00A247DF" w:rsidP="00C84203">
            <w:pPr>
              <w:spacing w:after="0" w:line="240" w:lineRule="auto"/>
              <w:jc w:val="center"/>
              <w:rPr>
                <w:rFonts w:ascii="Arial" w:eastAsia="Times New Roman" w:hAnsi="Arial" w:cs="Arial"/>
                <w:b/>
                <w:bCs/>
                <w:color w:val="000000"/>
                <w:sz w:val="14"/>
                <w:szCs w:val="20"/>
                <w:lang w:eastAsia="en-GB"/>
              </w:rPr>
            </w:pPr>
            <w:r>
              <w:rPr>
                <w:rFonts w:ascii="Arial" w:eastAsia="Times New Roman" w:hAnsi="Arial" w:cs="Arial"/>
                <w:b/>
                <w:bCs/>
                <w:color w:val="000000"/>
                <w:sz w:val="14"/>
                <w:szCs w:val="20"/>
                <w:lang w:eastAsia="en-GB"/>
              </w:rPr>
              <w:t>Summary of Issues and Recommendations</w:t>
            </w:r>
          </w:p>
        </w:tc>
        <w:tc>
          <w:tcPr>
            <w:tcW w:w="1576"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A247DF" w:rsidRPr="00E66E27" w:rsidRDefault="00A247DF" w:rsidP="00C84203">
            <w:pPr>
              <w:spacing w:after="0" w:line="240" w:lineRule="auto"/>
              <w:jc w:val="center"/>
              <w:rPr>
                <w:rFonts w:ascii="Arial" w:eastAsia="Times New Roman" w:hAnsi="Arial" w:cs="Arial"/>
                <w:color w:val="000000"/>
                <w:sz w:val="14"/>
                <w:szCs w:val="14"/>
                <w:lang w:eastAsia="en-GB"/>
              </w:rPr>
            </w:pPr>
            <w:r w:rsidRPr="00E66E27">
              <w:rPr>
                <w:rFonts w:ascii="Arial" w:eastAsia="Times New Roman" w:hAnsi="Arial" w:cs="Arial"/>
                <w:color w:val="000000"/>
                <w:sz w:val="14"/>
                <w:szCs w:val="14"/>
                <w:lang w:eastAsia="en-GB"/>
              </w:rPr>
              <w:t>Mitigation and Recommendations</w:t>
            </w:r>
          </w:p>
        </w:tc>
      </w:tr>
      <w:tr w:rsidR="00A247DF" w:rsidRPr="00E66E27" w:rsidTr="00A247DF">
        <w:trPr>
          <w:trHeight w:val="268"/>
        </w:trPr>
        <w:tc>
          <w:tcPr>
            <w:tcW w:w="14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247DF" w:rsidRPr="00E66E27" w:rsidRDefault="00A247DF" w:rsidP="00C84203">
            <w:pPr>
              <w:spacing w:after="0" w:line="240" w:lineRule="auto"/>
              <w:jc w:val="center"/>
              <w:rPr>
                <w:rFonts w:ascii="Arial" w:eastAsia="Times New Roman" w:hAnsi="Arial" w:cs="Arial"/>
                <w:b/>
                <w:bCs/>
                <w:i/>
                <w:color w:val="000000"/>
                <w:sz w:val="14"/>
                <w:szCs w:val="20"/>
                <w:lang w:eastAsia="en-GB"/>
              </w:rPr>
            </w:pPr>
            <w:r>
              <w:rPr>
                <w:rFonts w:ascii="Arial" w:eastAsia="Times New Roman" w:hAnsi="Arial" w:cs="Arial"/>
                <w:b/>
                <w:bCs/>
                <w:i/>
                <w:color w:val="000000"/>
                <w:szCs w:val="20"/>
                <w:lang w:eastAsia="en-GB"/>
              </w:rPr>
              <w:t>Cononley</w:t>
            </w:r>
          </w:p>
        </w:tc>
        <w:tc>
          <w:tcPr>
            <w:tcW w:w="347" w:type="dxa"/>
            <w:tcBorders>
              <w:top w:val="single" w:sz="4" w:space="0" w:color="auto"/>
              <w:left w:val="nil"/>
              <w:bottom w:val="single" w:sz="4" w:space="0" w:color="auto"/>
              <w:right w:val="single" w:sz="4" w:space="0" w:color="auto"/>
            </w:tcBorders>
            <w:shd w:val="clear" w:color="auto" w:fill="FFFFFF" w:themeFill="background1"/>
            <w:vAlign w:val="center"/>
          </w:tcPr>
          <w:p w:rsidR="00A247DF" w:rsidRDefault="00A247DF" w:rsidP="00C84203">
            <w:pPr>
              <w:spacing w:after="0" w:line="240" w:lineRule="auto"/>
              <w:rPr>
                <w:rFonts w:ascii="Arial" w:eastAsia="Times New Roman" w:hAnsi="Arial" w:cs="Arial"/>
                <w:color w:val="000000"/>
                <w:sz w:val="14"/>
                <w:szCs w:val="20"/>
                <w:lang w:eastAsia="en-GB"/>
              </w:rPr>
            </w:pPr>
          </w:p>
        </w:tc>
        <w:tc>
          <w:tcPr>
            <w:tcW w:w="347" w:type="dxa"/>
            <w:tcBorders>
              <w:top w:val="single" w:sz="4" w:space="0" w:color="auto"/>
              <w:left w:val="nil"/>
              <w:bottom w:val="single" w:sz="4" w:space="0" w:color="auto"/>
              <w:right w:val="single" w:sz="4" w:space="0" w:color="auto"/>
            </w:tcBorders>
            <w:shd w:val="clear" w:color="auto" w:fill="FFFFFF" w:themeFill="background1"/>
            <w:vAlign w:val="center"/>
          </w:tcPr>
          <w:p w:rsidR="00A247DF" w:rsidRDefault="00A247DF" w:rsidP="00C84203">
            <w:pPr>
              <w:spacing w:after="0" w:line="240" w:lineRule="auto"/>
              <w:rPr>
                <w:rFonts w:ascii="Arial" w:eastAsia="Times New Roman" w:hAnsi="Arial" w:cs="Arial"/>
                <w:color w:val="000000"/>
                <w:sz w:val="14"/>
                <w:szCs w:val="20"/>
                <w:lang w:eastAsia="en-GB"/>
              </w:rPr>
            </w:pPr>
          </w:p>
        </w:tc>
        <w:tc>
          <w:tcPr>
            <w:tcW w:w="347" w:type="dxa"/>
            <w:tcBorders>
              <w:top w:val="single" w:sz="4" w:space="0" w:color="auto"/>
              <w:left w:val="nil"/>
              <w:bottom w:val="single" w:sz="4" w:space="0" w:color="auto"/>
              <w:right w:val="single" w:sz="4" w:space="0" w:color="auto"/>
            </w:tcBorders>
            <w:shd w:val="clear" w:color="auto" w:fill="FFFFFF" w:themeFill="background1"/>
            <w:vAlign w:val="center"/>
          </w:tcPr>
          <w:p w:rsidR="00A247DF" w:rsidRDefault="00A247DF" w:rsidP="00C84203">
            <w:pPr>
              <w:spacing w:after="0" w:line="240" w:lineRule="auto"/>
              <w:rPr>
                <w:rFonts w:ascii="Arial" w:eastAsia="Times New Roman" w:hAnsi="Arial" w:cs="Arial"/>
                <w:color w:val="000000"/>
                <w:sz w:val="14"/>
                <w:szCs w:val="20"/>
                <w:lang w:eastAsia="en-GB"/>
              </w:rPr>
            </w:pPr>
          </w:p>
        </w:tc>
        <w:tc>
          <w:tcPr>
            <w:tcW w:w="347" w:type="dxa"/>
            <w:tcBorders>
              <w:top w:val="single" w:sz="4" w:space="0" w:color="auto"/>
              <w:left w:val="nil"/>
              <w:bottom w:val="single" w:sz="4" w:space="0" w:color="auto"/>
              <w:right w:val="single" w:sz="4" w:space="0" w:color="auto"/>
            </w:tcBorders>
            <w:shd w:val="clear" w:color="auto" w:fill="FFFFFF" w:themeFill="background1"/>
            <w:vAlign w:val="center"/>
          </w:tcPr>
          <w:p w:rsidR="00A247DF" w:rsidRDefault="00A247DF" w:rsidP="00C84203">
            <w:pPr>
              <w:spacing w:after="0" w:line="240" w:lineRule="auto"/>
              <w:rPr>
                <w:rFonts w:ascii="Arial" w:eastAsia="Times New Roman" w:hAnsi="Arial" w:cs="Arial"/>
                <w:color w:val="000000"/>
                <w:sz w:val="14"/>
                <w:szCs w:val="20"/>
                <w:lang w:eastAsia="en-GB"/>
              </w:rPr>
            </w:pPr>
          </w:p>
        </w:tc>
        <w:tc>
          <w:tcPr>
            <w:tcW w:w="347" w:type="dxa"/>
            <w:tcBorders>
              <w:top w:val="single" w:sz="4" w:space="0" w:color="auto"/>
              <w:left w:val="nil"/>
              <w:bottom w:val="single" w:sz="4" w:space="0" w:color="auto"/>
              <w:right w:val="single" w:sz="4" w:space="0" w:color="auto"/>
            </w:tcBorders>
            <w:shd w:val="clear" w:color="auto" w:fill="FFFFFF" w:themeFill="background1"/>
            <w:vAlign w:val="center"/>
          </w:tcPr>
          <w:p w:rsidR="00A247DF" w:rsidRDefault="00A247DF" w:rsidP="00C84203">
            <w:pPr>
              <w:spacing w:after="0" w:line="240" w:lineRule="auto"/>
              <w:rPr>
                <w:rFonts w:ascii="Arial" w:eastAsia="Times New Roman" w:hAnsi="Arial" w:cs="Arial"/>
                <w:color w:val="000000"/>
                <w:sz w:val="14"/>
                <w:szCs w:val="20"/>
                <w:lang w:eastAsia="en-GB"/>
              </w:rPr>
            </w:pPr>
          </w:p>
        </w:tc>
        <w:tc>
          <w:tcPr>
            <w:tcW w:w="347" w:type="dxa"/>
            <w:tcBorders>
              <w:top w:val="single" w:sz="4" w:space="0" w:color="auto"/>
              <w:left w:val="nil"/>
              <w:bottom w:val="single" w:sz="4" w:space="0" w:color="auto"/>
              <w:right w:val="single" w:sz="4" w:space="0" w:color="auto"/>
            </w:tcBorders>
            <w:shd w:val="clear" w:color="auto" w:fill="FFFFFF" w:themeFill="background1"/>
            <w:vAlign w:val="center"/>
          </w:tcPr>
          <w:p w:rsidR="00A247DF" w:rsidRDefault="00A247DF" w:rsidP="00C84203">
            <w:pPr>
              <w:spacing w:after="0" w:line="240" w:lineRule="auto"/>
              <w:rPr>
                <w:rFonts w:ascii="Arial" w:eastAsia="Times New Roman" w:hAnsi="Arial" w:cs="Arial"/>
                <w:color w:val="000000"/>
                <w:sz w:val="14"/>
                <w:szCs w:val="20"/>
                <w:lang w:eastAsia="en-GB"/>
              </w:rPr>
            </w:pPr>
          </w:p>
        </w:tc>
        <w:tc>
          <w:tcPr>
            <w:tcW w:w="347" w:type="dxa"/>
            <w:tcBorders>
              <w:top w:val="single" w:sz="4" w:space="0" w:color="auto"/>
              <w:left w:val="nil"/>
              <w:bottom w:val="single" w:sz="4" w:space="0" w:color="auto"/>
              <w:right w:val="single" w:sz="4" w:space="0" w:color="auto"/>
            </w:tcBorders>
            <w:shd w:val="clear" w:color="auto" w:fill="FFFFFF" w:themeFill="background1"/>
            <w:vAlign w:val="center"/>
          </w:tcPr>
          <w:p w:rsidR="00A247DF" w:rsidRDefault="00A247DF" w:rsidP="00C84203">
            <w:pPr>
              <w:spacing w:after="0" w:line="240" w:lineRule="auto"/>
              <w:rPr>
                <w:rFonts w:ascii="Arial" w:eastAsia="Times New Roman" w:hAnsi="Arial" w:cs="Arial"/>
                <w:color w:val="000000"/>
                <w:sz w:val="14"/>
                <w:szCs w:val="20"/>
                <w:lang w:eastAsia="en-GB"/>
              </w:rPr>
            </w:pPr>
          </w:p>
        </w:tc>
        <w:tc>
          <w:tcPr>
            <w:tcW w:w="351" w:type="dxa"/>
            <w:tcBorders>
              <w:top w:val="single" w:sz="4" w:space="0" w:color="auto"/>
              <w:left w:val="nil"/>
              <w:bottom w:val="single" w:sz="4" w:space="0" w:color="auto"/>
              <w:right w:val="single" w:sz="4" w:space="0" w:color="auto"/>
            </w:tcBorders>
            <w:shd w:val="clear" w:color="auto" w:fill="FFFFFF" w:themeFill="background1"/>
            <w:vAlign w:val="center"/>
          </w:tcPr>
          <w:p w:rsidR="00A247DF" w:rsidRDefault="00A247DF" w:rsidP="00C84203">
            <w:pPr>
              <w:spacing w:after="0" w:line="240" w:lineRule="auto"/>
              <w:rPr>
                <w:rFonts w:ascii="Arial" w:eastAsia="Times New Roman" w:hAnsi="Arial" w:cs="Arial"/>
                <w:color w:val="000000"/>
                <w:sz w:val="14"/>
                <w:szCs w:val="20"/>
                <w:lang w:eastAsia="en-GB"/>
              </w:rPr>
            </w:pPr>
          </w:p>
        </w:tc>
        <w:tc>
          <w:tcPr>
            <w:tcW w:w="405" w:type="dxa"/>
            <w:tcBorders>
              <w:top w:val="single" w:sz="4" w:space="0" w:color="auto"/>
              <w:left w:val="nil"/>
              <w:bottom w:val="single" w:sz="4" w:space="0" w:color="auto"/>
              <w:right w:val="single" w:sz="4" w:space="0" w:color="auto"/>
            </w:tcBorders>
            <w:shd w:val="clear" w:color="auto" w:fill="FFFFFF" w:themeFill="background1"/>
            <w:vAlign w:val="center"/>
          </w:tcPr>
          <w:p w:rsidR="00A247DF" w:rsidRDefault="00A247DF" w:rsidP="00C84203">
            <w:pPr>
              <w:spacing w:after="0" w:line="240" w:lineRule="auto"/>
              <w:rPr>
                <w:rFonts w:ascii="Arial" w:eastAsia="Times New Roman" w:hAnsi="Arial" w:cs="Arial"/>
                <w:color w:val="000000"/>
                <w:sz w:val="14"/>
                <w:szCs w:val="20"/>
                <w:lang w:eastAsia="en-GB"/>
              </w:rPr>
            </w:pPr>
          </w:p>
        </w:tc>
        <w:tc>
          <w:tcPr>
            <w:tcW w:w="424" w:type="dxa"/>
            <w:tcBorders>
              <w:top w:val="single" w:sz="4" w:space="0" w:color="auto"/>
              <w:left w:val="nil"/>
              <w:bottom w:val="single" w:sz="4" w:space="0" w:color="auto"/>
              <w:right w:val="single" w:sz="4" w:space="0" w:color="auto"/>
            </w:tcBorders>
            <w:shd w:val="clear" w:color="auto" w:fill="FFFFFF" w:themeFill="background1"/>
            <w:vAlign w:val="center"/>
          </w:tcPr>
          <w:p w:rsidR="00A247DF" w:rsidRDefault="00A247DF" w:rsidP="00C84203">
            <w:pPr>
              <w:spacing w:after="0" w:line="240" w:lineRule="auto"/>
              <w:rPr>
                <w:rFonts w:ascii="Arial" w:eastAsia="Times New Roman" w:hAnsi="Arial" w:cs="Arial"/>
                <w:color w:val="000000"/>
                <w:sz w:val="14"/>
                <w:szCs w:val="20"/>
                <w:lang w:eastAsia="en-GB"/>
              </w:rPr>
            </w:pPr>
          </w:p>
        </w:tc>
        <w:tc>
          <w:tcPr>
            <w:tcW w:w="424" w:type="dxa"/>
            <w:tcBorders>
              <w:top w:val="single" w:sz="4" w:space="0" w:color="auto"/>
              <w:left w:val="nil"/>
              <w:bottom w:val="single" w:sz="4" w:space="0" w:color="auto"/>
              <w:right w:val="single" w:sz="4" w:space="0" w:color="auto"/>
            </w:tcBorders>
            <w:shd w:val="clear" w:color="auto" w:fill="FFFFFF" w:themeFill="background1"/>
            <w:vAlign w:val="center"/>
          </w:tcPr>
          <w:p w:rsidR="00A247DF" w:rsidRDefault="00A247DF" w:rsidP="00C84203">
            <w:pPr>
              <w:spacing w:after="0" w:line="240" w:lineRule="auto"/>
              <w:rPr>
                <w:rFonts w:ascii="Arial" w:eastAsia="Times New Roman" w:hAnsi="Arial" w:cs="Arial"/>
                <w:color w:val="000000"/>
                <w:sz w:val="14"/>
                <w:szCs w:val="20"/>
                <w:lang w:eastAsia="en-GB"/>
              </w:rPr>
            </w:pPr>
          </w:p>
        </w:tc>
        <w:tc>
          <w:tcPr>
            <w:tcW w:w="424" w:type="dxa"/>
            <w:tcBorders>
              <w:top w:val="single" w:sz="4" w:space="0" w:color="auto"/>
              <w:left w:val="nil"/>
              <w:bottom w:val="single" w:sz="4" w:space="0" w:color="auto"/>
              <w:right w:val="single" w:sz="4" w:space="0" w:color="auto"/>
            </w:tcBorders>
            <w:shd w:val="clear" w:color="auto" w:fill="FFFFFF" w:themeFill="background1"/>
            <w:vAlign w:val="center"/>
          </w:tcPr>
          <w:p w:rsidR="00A247DF" w:rsidRDefault="00A247DF" w:rsidP="00C84203">
            <w:pPr>
              <w:spacing w:after="0" w:line="240" w:lineRule="auto"/>
              <w:rPr>
                <w:rFonts w:ascii="Arial" w:eastAsia="Times New Roman" w:hAnsi="Arial" w:cs="Arial"/>
                <w:color w:val="000000"/>
                <w:sz w:val="14"/>
                <w:szCs w:val="20"/>
                <w:lang w:eastAsia="en-GB"/>
              </w:rPr>
            </w:pPr>
          </w:p>
        </w:tc>
        <w:tc>
          <w:tcPr>
            <w:tcW w:w="424" w:type="dxa"/>
            <w:tcBorders>
              <w:top w:val="single" w:sz="4" w:space="0" w:color="auto"/>
              <w:left w:val="nil"/>
              <w:bottom w:val="single" w:sz="4" w:space="0" w:color="auto"/>
              <w:right w:val="single" w:sz="4" w:space="0" w:color="auto"/>
            </w:tcBorders>
            <w:shd w:val="clear" w:color="auto" w:fill="FFFFFF" w:themeFill="background1"/>
            <w:vAlign w:val="center"/>
          </w:tcPr>
          <w:p w:rsidR="00A247DF" w:rsidRDefault="00A247DF" w:rsidP="00C84203">
            <w:pPr>
              <w:spacing w:after="0" w:line="240" w:lineRule="auto"/>
              <w:rPr>
                <w:rFonts w:ascii="Arial" w:eastAsia="Times New Roman" w:hAnsi="Arial" w:cs="Arial"/>
                <w:color w:val="000000"/>
                <w:sz w:val="14"/>
                <w:szCs w:val="20"/>
                <w:lang w:eastAsia="en-GB"/>
              </w:rPr>
            </w:pPr>
          </w:p>
        </w:tc>
        <w:tc>
          <w:tcPr>
            <w:tcW w:w="424" w:type="dxa"/>
            <w:tcBorders>
              <w:top w:val="single" w:sz="4" w:space="0" w:color="auto"/>
              <w:left w:val="nil"/>
              <w:bottom w:val="single" w:sz="4" w:space="0" w:color="auto"/>
              <w:right w:val="single" w:sz="4" w:space="0" w:color="auto"/>
            </w:tcBorders>
            <w:shd w:val="clear" w:color="auto" w:fill="FFFFFF" w:themeFill="background1"/>
            <w:vAlign w:val="center"/>
          </w:tcPr>
          <w:p w:rsidR="00A247DF" w:rsidRDefault="00A247DF" w:rsidP="00C84203">
            <w:pPr>
              <w:spacing w:after="0" w:line="240" w:lineRule="auto"/>
              <w:rPr>
                <w:rFonts w:ascii="Arial" w:eastAsia="Times New Roman" w:hAnsi="Arial" w:cs="Arial"/>
                <w:color w:val="000000"/>
                <w:sz w:val="14"/>
                <w:szCs w:val="20"/>
                <w:lang w:eastAsia="en-GB"/>
              </w:rPr>
            </w:pPr>
          </w:p>
        </w:tc>
        <w:tc>
          <w:tcPr>
            <w:tcW w:w="424" w:type="dxa"/>
            <w:tcBorders>
              <w:top w:val="single" w:sz="4" w:space="0" w:color="auto"/>
              <w:left w:val="nil"/>
              <w:bottom w:val="single" w:sz="4" w:space="0" w:color="auto"/>
              <w:right w:val="single" w:sz="4" w:space="0" w:color="auto"/>
            </w:tcBorders>
            <w:shd w:val="clear" w:color="auto" w:fill="FFFFFF" w:themeFill="background1"/>
            <w:vAlign w:val="center"/>
          </w:tcPr>
          <w:p w:rsidR="00A247DF" w:rsidRDefault="00A247DF" w:rsidP="00C84203">
            <w:pPr>
              <w:spacing w:after="0" w:line="240" w:lineRule="auto"/>
              <w:rPr>
                <w:rFonts w:ascii="Arial" w:eastAsia="Times New Roman" w:hAnsi="Arial" w:cs="Arial"/>
                <w:color w:val="000000"/>
                <w:sz w:val="14"/>
                <w:szCs w:val="20"/>
                <w:lang w:eastAsia="en-GB"/>
              </w:rPr>
            </w:pPr>
          </w:p>
        </w:tc>
        <w:tc>
          <w:tcPr>
            <w:tcW w:w="424" w:type="dxa"/>
            <w:tcBorders>
              <w:top w:val="single" w:sz="4" w:space="0" w:color="auto"/>
              <w:left w:val="nil"/>
              <w:bottom w:val="single" w:sz="4" w:space="0" w:color="auto"/>
              <w:right w:val="single" w:sz="4" w:space="0" w:color="auto"/>
            </w:tcBorders>
            <w:shd w:val="clear" w:color="auto" w:fill="FFFFFF" w:themeFill="background1"/>
            <w:vAlign w:val="center"/>
          </w:tcPr>
          <w:p w:rsidR="00A247DF" w:rsidRDefault="00A247DF" w:rsidP="00C84203">
            <w:pPr>
              <w:spacing w:after="0" w:line="240" w:lineRule="auto"/>
              <w:rPr>
                <w:rFonts w:ascii="Arial" w:eastAsia="Times New Roman" w:hAnsi="Arial" w:cs="Arial"/>
                <w:color w:val="000000"/>
                <w:sz w:val="14"/>
                <w:szCs w:val="20"/>
                <w:lang w:eastAsia="en-GB"/>
              </w:rPr>
            </w:pPr>
          </w:p>
        </w:tc>
        <w:tc>
          <w:tcPr>
            <w:tcW w:w="424" w:type="dxa"/>
            <w:tcBorders>
              <w:top w:val="single" w:sz="4" w:space="0" w:color="auto"/>
              <w:left w:val="nil"/>
              <w:bottom w:val="single" w:sz="4" w:space="0" w:color="auto"/>
              <w:right w:val="single" w:sz="4" w:space="0" w:color="auto"/>
            </w:tcBorders>
            <w:shd w:val="clear" w:color="auto" w:fill="FFFFFF" w:themeFill="background1"/>
            <w:vAlign w:val="center"/>
          </w:tcPr>
          <w:p w:rsidR="00A247DF" w:rsidRDefault="00A247DF" w:rsidP="00C84203">
            <w:pPr>
              <w:spacing w:after="0" w:line="240" w:lineRule="auto"/>
              <w:rPr>
                <w:rFonts w:ascii="Arial" w:eastAsia="Times New Roman" w:hAnsi="Arial" w:cs="Arial"/>
                <w:color w:val="000000"/>
                <w:sz w:val="14"/>
                <w:szCs w:val="20"/>
                <w:lang w:eastAsia="en-GB"/>
              </w:rPr>
            </w:pPr>
          </w:p>
        </w:tc>
        <w:tc>
          <w:tcPr>
            <w:tcW w:w="424" w:type="dxa"/>
            <w:tcBorders>
              <w:top w:val="single" w:sz="4" w:space="0" w:color="auto"/>
              <w:left w:val="nil"/>
              <w:bottom w:val="single" w:sz="4" w:space="0" w:color="auto"/>
              <w:right w:val="single" w:sz="4" w:space="0" w:color="auto"/>
            </w:tcBorders>
            <w:shd w:val="clear" w:color="auto" w:fill="FFFFFF" w:themeFill="background1"/>
            <w:vAlign w:val="center"/>
          </w:tcPr>
          <w:p w:rsidR="00A247DF" w:rsidRDefault="00A247DF" w:rsidP="00C84203">
            <w:pPr>
              <w:spacing w:after="0" w:line="240" w:lineRule="auto"/>
              <w:rPr>
                <w:rFonts w:ascii="Arial" w:eastAsia="Times New Roman" w:hAnsi="Arial" w:cs="Arial"/>
                <w:color w:val="000000"/>
                <w:sz w:val="14"/>
                <w:szCs w:val="20"/>
                <w:lang w:eastAsia="en-GB"/>
              </w:rPr>
            </w:pPr>
          </w:p>
        </w:tc>
        <w:tc>
          <w:tcPr>
            <w:tcW w:w="424" w:type="dxa"/>
            <w:tcBorders>
              <w:top w:val="single" w:sz="4" w:space="0" w:color="auto"/>
              <w:left w:val="nil"/>
              <w:bottom w:val="single" w:sz="4" w:space="0" w:color="auto"/>
              <w:right w:val="single" w:sz="4" w:space="0" w:color="auto"/>
            </w:tcBorders>
            <w:shd w:val="clear" w:color="auto" w:fill="FFFFFF" w:themeFill="background1"/>
            <w:vAlign w:val="center"/>
          </w:tcPr>
          <w:p w:rsidR="00A247DF" w:rsidRDefault="00A247DF" w:rsidP="00C84203">
            <w:pPr>
              <w:spacing w:after="0" w:line="240" w:lineRule="auto"/>
              <w:rPr>
                <w:rFonts w:ascii="Arial" w:eastAsia="Times New Roman" w:hAnsi="Arial" w:cs="Arial"/>
                <w:color w:val="000000"/>
                <w:sz w:val="14"/>
                <w:szCs w:val="20"/>
                <w:lang w:eastAsia="en-GB"/>
              </w:rPr>
            </w:pPr>
          </w:p>
        </w:tc>
        <w:tc>
          <w:tcPr>
            <w:tcW w:w="424" w:type="dxa"/>
            <w:tcBorders>
              <w:top w:val="single" w:sz="4" w:space="0" w:color="auto"/>
              <w:left w:val="nil"/>
              <w:bottom w:val="single" w:sz="4" w:space="0" w:color="auto"/>
              <w:right w:val="single" w:sz="4" w:space="0" w:color="auto"/>
            </w:tcBorders>
            <w:shd w:val="clear" w:color="auto" w:fill="FFFFFF" w:themeFill="background1"/>
            <w:vAlign w:val="center"/>
          </w:tcPr>
          <w:p w:rsidR="00A247DF" w:rsidRDefault="00A247DF" w:rsidP="00C84203">
            <w:pPr>
              <w:spacing w:after="0" w:line="240" w:lineRule="auto"/>
              <w:rPr>
                <w:rFonts w:ascii="Arial" w:eastAsia="Times New Roman" w:hAnsi="Arial" w:cs="Arial"/>
                <w:color w:val="000000"/>
                <w:sz w:val="14"/>
                <w:szCs w:val="20"/>
                <w:lang w:eastAsia="en-GB"/>
              </w:rPr>
            </w:pPr>
          </w:p>
        </w:tc>
        <w:tc>
          <w:tcPr>
            <w:tcW w:w="3092" w:type="dxa"/>
            <w:tcBorders>
              <w:top w:val="single" w:sz="4" w:space="0" w:color="auto"/>
              <w:left w:val="nil"/>
              <w:bottom w:val="single" w:sz="4" w:space="0" w:color="auto"/>
              <w:right w:val="single" w:sz="4" w:space="0" w:color="auto"/>
            </w:tcBorders>
            <w:shd w:val="clear" w:color="auto" w:fill="FFFFFF" w:themeFill="background1"/>
            <w:vAlign w:val="center"/>
          </w:tcPr>
          <w:p w:rsidR="00A247DF" w:rsidRDefault="00A247DF" w:rsidP="00C84203">
            <w:pPr>
              <w:spacing w:after="0" w:line="240" w:lineRule="auto"/>
              <w:jc w:val="center"/>
              <w:rPr>
                <w:rFonts w:ascii="Arial" w:eastAsia="Times New Roman" w:hAnsi="Arial" w:cs="Arial"/>
                <w:b/>
                <w:bCs/>
                <w:color w:val="000000"/>
                <w:sz w:val="14"/>
                <w:szCs w:val="20"/>
                <w:lang w:eastAsia="en-GB"/>
              </w:rPr>
            </w:pPr>
          </w:p>
        </w:tc>
        <w:tc>
          <w:tcPr>
            <w:tcW w:w="1576" w:type="dxa"/>
            <w:tcBorders>
              <w:top w:val="single" w:sz="4" w:space="0" w:color="auto"/>
              <w:left w:val="nil"/>
              <w:bottom w:val="single" w:sz="4" w:space="0" w:color="auto"/>
              <w:right w:val="single" w:sz="4" w:space="0" w:color="auto"/>
            </w:tcBorders>
            <w:shd w:val="clear" w:color="000000" w:fill="FFFFFF"/>
            <w:vAlign w:val="center"/>
          </w:tcPr>
          <w:p w:rsidR="00A247DF" w:rsidRPr="00E66E27" w:rsidRDefault="00A247DF" w:rsidP="00C84203">
            <w:pPr>
              <w:spacing w:after="0" w:line="240" w:lineRule="auto"/>
              <w:jc w:val="center"/>
              <w:rPr>
                <w:rFonts w:ascii="Arial" w:eastAsia="Times New Roman" w:hAnsi="Arial" w:cs="Arial"/>
                <w:color w:val="000000"/>
                <w:sz w:val="14"/>
                <w:szCs w:val="14"/>
                <w:lang w:eastAsia="en-GB"/>
              </w:rPr>
            </w:pPr>
          </w:p>
        </w:tc>
      </w:tr>
      <w:tr w:rsidR="0003575D" w:rsidRPr="003A2593" w:rsidTr="0003575D">
        <w:trPr>
          <w:trHeight w:val="941"/>
        </w:trPr>
        <w:tc>
          <w:tcPr>
            <w:tcW w:w="1419" w:type="dxa"/>
            <w:tcBorders>
              <w:top w:val="single" w:sz="4" w:space="0" w:color="auto"/>
              <w:left w:val="single" w:sz="4" w:space="0" w:color="auto"/>
              <w:bottom w:val="single" w:sz="4" w:space="0" w:color="auto"/>
              <w:right w:val="single" w:sz="4" w:space="0" w:color="auto"/>
            </w:tcBorders>
            <w:shd w:val="clear" w:color="000000" w:fill="FFFFFF"/>
            <w:vAlign w:val="center"/>
          </w:tcPr>
          <w:p w:rsidR="0003575D" w:rsidRPr="0003575D" w:rsidRDefault="0003575D">
            <w:pPr>
              <w:rPr>
                <w:rFonts w:cstheme="minorHAnsi"/>
                <w:color w:val="000000"/>
                <w:sz w:val="16"/>
                <w:szCs w:val="20"/>
              </w:rPr>
            </w:pPr>
            <w:r w:rsidRPr="0003575D">
              <w:rPr>
                <w:rFonts w:cstheme="minorHAnsi"/>
                <w:b/>
                <w:bCs/>
                <w:color w:val="000000"/>
                <w:sz w:val="16"/>
                <w:szCs w:val="20"/>
              </w:rPr>
              <w:t>CN006</w:t>
            </w:r>
            <w:r w:rsidRPr="0003575D">
              <w:rPr>
                <w:rFonts w:cstheme="minorHAnsi"/>
                <w:color w:val="000000"/>
                <w:sz w:val="16"/>
                <w:szCs w:val="20"/>
              </w:rPr>
              <w:t xml:space="preserve"> Station Works, north of Cononley Lane, Cononley 2.168ha.</w:t>
            </w:r>
          </w:p>
        </w:tc>
        <w:tc>
          <w:tcPr>
            <w:tcW w:w="347" w:type="dxa"/>
            <w:tcBorders>
              <w:top w:val="single" w:sz="4" w:space="0" w:color="auto"/>
              <w:left w:val="nil"/>
              <w:bottom w:val="single" w:sz="4" w:space="0" w:color="auto"/>
              <w:right w:val="single" w:sz="4" w:space="0" w:color="auto"/>
            </w:tcBorders>
            <w:shd w:val="clear" w:color="auto" w:fill="D99594" w:themeFill="accent2" w:themeFillTint="99"/>
            <w:vAlign w:val="center"/>
          </w:tcPr>
          <w:p w:rsidR="0003575D" w:rsidRPr="0003575D" w:rsidRDefault="0003575D">
            <w:pPr>
              <w:jc w:val="center"/>
              <w:rPr>
                <w:rFonts w:cstheme="minorHAnsi"/>
                <w:sz w:val="16"/>
                <w:szCs w:val="20"/>
              </w:rPr>
            </w:pPr>
            <w:r w:rsidRPr="0003575D">
              <w:rPr>
                <w:rFonts w:cstheme="minorHAnsi"/>
                <w:sz w:val="16"/>
                <w:szCs w:val="20"/>
              </w:rPr>
              <w:t>-</w:t>
            </w:r>
          </w:p>
        </w:tc>
        <w:tc>
          <w:tcPr>
            <w:tcW w:w="347" w:type="dxa"/>
            <w:tcBorders>
              <w:top w:val="single" w:sz="4" w:space="0" w:color="auto"/>
              <w:left w:val="nil"/>
              <w:bottom w:val="single" w:sz="4" w:space="0" w:color="auto"/>
              <w:right w:val="single" w:sz="4" w:space="0" w:color="auto"/>
            </w:tcBorders>
            <w:shd w:val="clear" w:color="auto" w:fill="D99594" w:themeFill="accent2" w:themeFillTint="99"/>
            <w:vAlign w:val="center"/>
          </w:tcPr>
          <w:p w:rsidR="0003575D" w:rsidRPr="0003575D" w:rsidRDefault="0003575D">
            <w:pPr>
              <w:jc w:val="center"/>
              <w:rPr>
                <w:rFonts w:cstheme="minorHAnsi"/>
                <w:sz w:val="16"/>
                <w:szCs w:val="20"/>
              </w:rPr>
            </w:pPr>
            <w:r w:rsidRPr="0003575D">
              <w:rPr>
                <w:rFonts w:cstheme="minorHAnsi"/>
                <w:sz w:val="16"/>
                <w:szCs w:val="20"/>
              </w:rPr>
              <w:t>-</w:t>
            </w:r>
          </w:p>
        </w:tc>
        <w:tc>
          <w:tcPr>
            <w:tcW w:w="347" w:type="dxa"/>
            <w:tcBorders>
              <w:top w:val="single" w:sz="4" w:space="0" w:color="auto"/>
              <w:left w:val="nil"/>
              <w:bottom w:val="single" w:sz="4" w:space="0" w:color="auto"/>
              <w:right w:val="single" w:sz="4" w:space="0" w:color="auto"/>
            </w:tcBorders>
            <w:shd w:val="clear" w:color="auto" w:fill="C2D69B" w:themeFill="accent3" w:themeFillTint="99"/>
            <w:vAlign w:val="center"/>
          </w:tcPr>
          <w:p w:rsidR="0003575D" w:rsidRPr="0003575D" w:rsidRDefault="0003575D">
            <w:pPr>
              <w:jc w:val="center"/>
              <w:rPr>
                <w:rFonts w:cstheme="minorHAnsi"/>
                <w:color w:val="000000"/>
                <w:sz w:val="16"/>
                <w:szCs w:val="20"/>
              </w:rPr>
            </w:pPr>
            <w:r w:rsidRPr="0003575D">
              <w:rPr>
                <w:rFonts w:cstheme="minorHAnsi"/>
                <w:color w:val="000000"/>
                <w:sz w:val="16"/>
                <w:szCs w:val="20"/>
              </w:rPr>
              <w:t>+</w:t>
            </w:r>
          </w:p>
        </w:tc>
        <w:tc>
          <w:tcPr>
            <w:tcW w:w="347" w:type="dxa"/>
            <w:tcBorders>
              <w:top w:val="single" w:sz="4" w:space="0" w:color="auto"/>
              <w:left w:val="nil"/>
              <w:bottom w:val="single" w:sz="4" w:space="0" w:color="auto"/>
              <w:right w:val="single" w:sz="4" w:space="0" w:color="auto"/>
            </w:tcBorders>
            <w:shd w:val="clear" w:color="auto" w:fill="C2D69B" w:themeFill="accent3" w:themeFillTint="99"/>
            <w:vAlign w:val="center"/>
          </w:tcPr>
          <w:p w:rsidR="0003575D" w:rsidRPr="0003575D" w:rsidRDefault="0003575D">
            <w:pPr>
              <w:jc w:val="center"/>
              <w:rPr>
                <w:rFonts w:cstheme="minorHAnsi"/>
                <w:color w:val="000000"/>
                <w:sz w:val="16"/>
                <w:szCs w:val="20"/>
              </w:rPr>
            </w:pPr>
            <w:r w:rsidRPr="0003575D">
              <w:rPr>
                <w:rFonts w:cstheme="minorHAnsi"/>
                <w:color w:val="000000"/>
                <w:sz w:val="16"/>
                <w:szCs w:val="20"/>
              </w:rPr>
              <w:t>+</w:t>
            </w:r>
          </w:p>
        </w:tc>
        <w:tc>
          <w:tcPr>
            <w:tcW w:w="347" w:type="dxa"/>
            <w:tcBorders>
              <w:top w:val="single" w:sz="4" w:space="0" w:color="auto"/>
              <w:left w:val="nil"/>
              <w:bottom w:val="single" w:sz="4" w:space="0" w:color="auto"/>
              <w:right w:val="single" w:sz="4" w:space="0" w:color="auto"/>
            </w:tcBorders>
            <w:shd w:val="clear" w:color="auto" w:fill="C2D69B" w:themeFill="accent3" w:themeFillTint="99"/>
            <w:vAlign w:val="center"/>
          </w:tcPr>
          <w:p w:rsidR="0003575D" w:rsidRPr="0003575D" w:rsidRDefault="0003575D">
            <w:pPr>
              <w:jc w:val="center"/>
              <w:rPr>
                <w:rFonts w:cstheme="minorHAnsi"/>
                <w:color w:val="000000"/>
                <w:sz w:val="16"/>
                <w:szCs w:val="20"/>
              </w:rPr>
            </w:pPr>
            <w:r w:rsidRPr="0003575D">
              <w:rPr>
                <w:rFonts w:cstheme="minorHAnsi"/>
                <w:color w:val="000000"/>
                <w:sz w:val="16"/>
                <w:szCs w:val="20"/>
              </w:rPr>
              <w:t>+</w:t>
            </w:r>
          </w:p>
        </w:tc>
        <w:tc>
          <w:tcPr>
            <w:tcW w:w="347" w:type="dxa"/>
            <w:tcBorders>
              <w:top w:val="single" w:sz="4" w:space="0" w:color="auto"/>
              <w:left w:val="nil"/>
              <w:bottom w:val="single" w:sz="4" w:space="0" w:color="auto"/>
              <w:right w:val="single" w:sz="4" w:space="0" w:color="auto"/>
            </w:tcBorders>
            <w:shd w:val="clear" w:color="auto" w:fill="C2D69B" w:themeFill="accent3" w:themeFillTint="99"/>
            <w:vAlign w:val="center"/>
          </w:tcPr>
          <w:p w:rsidR="0003575D" w:rsidRPr="0003575D" w:rsidRDefault="0003575D">
            <w:pPr>
              <w:jc w:val="center"/>
              <w:rPr>
                <w:rFonts w:cstheme="minorHAnsi"/>
                <w:color w:val="000000"/>
                <w:sz w:val="16"/>
                <w:szCs w:val="20"/>
              </w:rPr>
            </w:pPr>
            <w:r w:rsidRPr="0003575D">
              <w:rPr>
                <w:rFonts w:cstheme="minorHAnsi"/>
                <w:color w:val="000000"/>
                <w:sz w:val="16"/>
                <w:szCs w:val="20"/>
              </w:rPr>
              <w:t>+</w:t>
            </w:r>
          </w:p>
        </w:tc>
        <w:tc>
          <w:tcPr>
            <w:tcW w:w="347"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03575D" w:rsidRPr="0003575D" w:rsidRDefault="0003575D">
            <w:pPr>
              <w:jc w:val="center"/>
              <w:rPr>
                <w:rFonts w:cstheme="minorHAnsi"/>
                <w:color w:val="000000"/>
                <w:sz w:val="16"/>
                <w:szCs w:val="20"/>
              </w:rPr>
            </w:pPr>
            <w:r w:rsidRPr="0003575D">
              <w:rPr>
                <w:rFonts w:cstheme="minorHAnsi"/>
                <w:color w:val="000000"/>
                <w:sz w:val="16"/>
                <w:szCs w:val="20"/>
              </w:rPr>
              <w:t>0</w:t>
            </w:r>
          </w:p>
        </w:tc>
        <w:tc>
          <w:tcPr>
            <w:tcW w:w="351" w:type="dxa"/>
            <w:tcBorders>
              <w:top w:val="single" w:sz="4" w:space="0" w:color="auto"/>
              <w:left w:val="nil"/>
              <w:bottom w:val="single" w:sz="4" w:space="0" w:color="auto"/>
              <w:right w:val="single" w:sz="4" w:space="0" w:color="auto"/>
            </w:tcBorders>
            <w:shd w:val="clear" w:color="auto" w:fill="C2D69B" w:themeFill="accent3" w:themeFillTint="99"/>
            <w:vAlign w:val="center"/>
          </w:tcPr>
          <w:p w:rsidR="0003575D" w:rsidRPr="0003575D" w:rsidRDefault="0003575D">
            <w:pPr>
              <w:jc w:val="center"/>
              <w:rPr>
                <w:rFonts w:cstheme="minorHAnsi"/>
                <w:color w:val="000000"/>
                <w:sz w:val="16"/>
                <w:szCs w:val="20"/>
              </w:rPr>
            </w:pPr>
            <w:r w:rsidRPr="0003575D">
              <w:rPr>
                <w:rFonts w:cstheme="minorHAnsi"/>
                <w:color w:val="000000"/>
                <w:sz w:val="16"/>
                <w:szCs w:val="20"/>
              </w:rPr>
              <w:t>+</w:t>
            </w:r>
          </w:p>
        </w:tc>
        <w:tc>
          <w:tcPr>
            <w:tcW w:w="405"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03575D" w:rsidRPr="0003575D" w:rsidRDefault="0003575D">
            <w:pPr>
              <w:jc w:val="center"/>
              <w:rPr>
                <w:rFonts w:cstheme="minorHAnsi"/>
                <w:color w:val="000000"/>
                <w:sz w:val="16"/>
                <w:szCs w:val="20"/>
              </w:rPr>
            </w:pPr>
            <w:r w:rsidRPr="0003575D">
              <w:rPr>
                <w:rFonts w:cstheme="minorHAnsi"/>
                <w:color w:val="000000"/>
                <w:sz w:val="16"/>
                <w:szCs w:val="20"/>
              </w:rPr>
              <w:t>0</w:t>
            </w:r>
          </w:p>
        </w:tc>
        <w:tc>
          <w:tcPr>
            <w:tcW w:w="424"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03575D" w:rsidRPr="0003575D" w:rsidRDefault="0003575D">
            <w:pPr>
              <w:jc w:val="center"/>
              <w:rPr>
                <w:rFonts w:cstheme="minorHAnsi"/>
                <w:color w:val="000000"/>
                <w:sz w:val="16"/>
                <w:szCs w:val="20"/>
              </w:rPr>
            </w:pPr>
            <w:r w:rsidRPr="0003575D">
              <w:rPr>
                <w:rFonts w:cstheme="minorHAnsi"/>
                <w:color w:val="000000"/>
                <w:sz w:val="16"/>
                <w:szCs w:val="20"/>
              </w:rPr>
              <w:t>0</w:t>
            </w:r>
          </w:p>
        </w:tc>
        <w:tc>
          <w:tcPr>
            <w:tcW w:w="424" w:type="dxa"/>
            <w:tcBorders>
              <w:top w:val="single" w:sz="4" w:space="0" w:color="auto"/>
              <w:left w:val="nil"/>
              <w:bottom w:val="single" w:sz="4" w:space="0" w:color="auto"/>
              <w:right w:val="single" w:sz="4" w:space="0" w:color="auto"/>
            </w:tcBorders>
            <w:shd w:val="clear" w:color="auto" w:fill="C2D69B" w:themeFill="accent3" w:themeFillTint="99"/>
            <w:vAlign w:val="center"/>
          </w:tcPr>
          <w:p w:rsidR="0003575D" w:rsidRPr="0003575D" w:rsidRDefault="0003575D">
            <w:pPr>
              <w:jc w:val="center"/>
              <w:rPr>
                <w:rFonts w:cstheme="minorHAnsi"/>
                <w:color w:val="000000"/>
                <w:sz w:val="16"/>
                <w:szCs w:val="20"/>
              </w:rPr>
            </w:pPr>
            <w:r w:rsidRPr="0003575D">
              <w:rPr>
                <w:rFonts w:cstheme="minorHAnsi"/>
                <w:color w:val="000000"/>
                <w:sz w:val="16"/>
                <w:szCs w:val="20"/>
              </w:rPr>
              <w:t>+</w:t>
            </w:r>
          </w:p>
        </w:tc>
        <w:tc>
          <w:tcPr>
            <w:tcW w:w="424" w:type="dxa"/>
            <w:tcBorders>
              <w:top w:val="single" w:sz="4" w:space="0" w:color="auto"/>
              <w:left w:val="nil"/>
              <w:bottom w:val="single" w:sz="4" w:space="0" w:color="auto"/>
              <w:right w:val="single" w:sz="4" w:space="0" w:color="auto"/>
            </w:tcBorders>
            <w:shd w:val="clear" w:color="auto" w:fill="D99594" w:themeFill="accent2" w:themeFillTint="99"/>
            <w:vAlign w:val="center"/>
          </w:tcPr>
          <w:p w:rsidR="0003575D" w:rsidRPr="0003575D" w:rsidRDefault="0003575D">
            <w:pPr>
              <w:jc w:val="center"/>
              <w:rPr>
                <w:rFonts w:cstheme="minorHAnsi"/>
                <w:color w:val="000000"/>
                <w:sz w:val="16"/>
                <w:szCs w:val="20"/>
              </w:rPr>
            </w:pPr>
            <w:r w:rsidRPr="0003575D">
              <w:rPr>
                <w:rFonts w:cstheme="minorHAnsi"/>
                <w:color w:val="000000"/>
                <w:sz w:val="16"/>
                <w:szCs w:val="20"/>
              </w:rPr>
              <w:t>-</w:t>
            </w:r>
          </w:p>
        </w:tc>
        <w:tc>
          <w:tcPr>
            <w:tcW w:w="424"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03575D" w:rsidRPr="0003575D" w:rsidRDefault="0003575D">
            <w:pPr>
              <w:jc w:val="center"/>
              <w:rPr>
                <w:rFonts w:cstheme="minorHAnsi"/>
                <w:color w:val="000000"/>
                <w:sz w:val="16"/>
                <w:szCs w:val="20"/>
              </w:rPr>
            </w:pPr>
            <w:r w:rsidRPr="0003575D">
              <w:rPr>
                <w:rFonts w:cstheme="minorHAnsi"/>
                <w:color w:val="000000"/>
                <w:sz w:val="16"/>
                <w:szCs w:val="20"/>
              </w:rPr>
              <w:t>0</w:t>
            </w:r>
          </w:p>
        </w:tc>
        <w:tc>
          <w:tcPr>
            <w:tcW w:w="424" w:type="dxa"/>
            <w:tcBorders>
              <w:top w:val="single" w:sz="4" w:space="0" w:color="auto"/>
              <w:left w:val="nil"/>
              <w:bottom w:val="single" w:sz="4" w:space="0" w:color="auto"/>
              <w:right w:val="single" w:sz="4" w:space="0" w:color="auto"/>
            </w:tcBorders>
            <w:shd w:val="clear" w:color="auto" w:fill="D99594" w:themeFill="accent2" w:themeFillTint="99"/>
            <w:vAlign w:val="center"/>
          </w:tcPr>
          <w:p w:rsidR="0003575D" w:rsidRPr="0003575D" w:rsidRDefault="0003575D">
            <w:pPr>
              <w:jc w:val="center"/>
              <w:rPr>
                <w:rFonts w:cstheme="minorHAnsi"/>
                <w:sz w:val="16"/>
                <w:szCs w:val="20"/>
              </w:rPr>
            </w:pPr>
            <w:r w:rsidRPr="0003575D">
              <w:rPr>
                <w:rFonts w:cstheme="minorHAnsi"/>
                <w:sz w:val="16"/>
                <w:szCs w:val="20"/>
              </w:rPr>
              <w:t>-</w:t>
            </w:r>
          </w:p>
        </w:tc>
        <w:tc>
          <w:tcPr>
            <w:tcW w:w="424" w:type="dxa"/>
            <w:tcBorders>
              <w:top w:val="single" w:sz="4" w:space="0" w:color="auto"/>
              <w:left w:val="nil"/>
              <w:bottom w:val="single" w:sz="4" w:space="0" w:color="auto"/>
              <w:right w:val="single" w:sz="4" w:space="0" w:color="auto"/>
            </w:tcBorders>
            <w:shd w:val="clear" w:color="auto" w:fill="C2D69B" w:themeFill="accent3" w:themeFillTint="99"/>
            <w:vAlign w:val="center"/>
          </w:tcPr>
          <w:p w:rsidR="0003575D" w:rsidRPr="0003575D" w:rsidRDefault="0003575D">
            <w:pPr>
              <w:jc w:val="center"/>
              <w:rPr>
                <w:rFonts w:cstheme="minorHAnsi"/>
                <w:color w:val="000000"/>
                <w:sz w:val="16"/>
                <w:szCs w:val="20"/>
              </w:rPr>
            </w:pPr>
            <w:r w:rsidRPr="0003575D">
              <w:rPr>
                <w:rFonts w:cstheme="minorHAnsi"/>
                <w:color w:val="000000"/>
                <w:sz w:val="16"/>
                <w:szCs w:val="20"/>
              </w:rPr>
              <w:t>+</w:t>
            </w:r>
          </w:p>
        </w:tc>
        <w:tc>
          <w:tcPr>
            <w:tcW w:w="424" w:type="dxa"/>
            <w:tcBorders>
              <w:top w:val="single" w:sz="4" w:space="0" w:color="auto"/>
              <w:left w:val="nil"/>
              <w:bottom w:val="single" w:sz="4" w:space="0" w:color="auto"/>
              <w:right w:val="single" w:sz="4" w:space="0" w:color="auto"/>
            </w:tcBorders>
            <w:shd w:val="clear" w:color="auto" w:fill="C2D69B" w:themeFill="accent3" w:themeFillTint="99"/>
            <w:vAlign w:val="center"/>
          </w:tcPr>
          <w:p w:rsidR="0003575D" w:rsidRPr="0003575D" w:rsidRDefault="0003575D">
            <w:pPr>
              <w:jc w:val="center"/>
              <w:rPr>
                <w:rFonts w:cstheme="minorHAnsi"/>
                <w:color w:val="000000"/>
                <w:sz w:val="16"/>
                <w:szCs w:val="20"/>
              </w:rPr>
            </w:pPr>
            <w:r w:rsidRPr="0003575D">
              <w:rPr>
                <w:rFonts w:cstheme="minorHAnsi"/>
                <w:color w:val="000000"/>
                <w:sz w:val="16"/>
                <w:szCs w:val="20"/>
              </w:rPr>
              <w:t>+</w:t>
            </w:r>
          </w:p>
        </w:tc>
        <w:tc>
          <w:tcPr>
            <w:tcW w:w="424" w:type="dxa"/>
            <w:tcBorders>
              <w:top w:val="single" w:sz="4" w:space="0" w:color="auto"/>
              <w:left w:val="nil"/>
              <w:bottom w:val="single" w:sz="4" w:space="0" w:color="auto"/>
              <w:right w:val="single" w:sz="4" w:space="0" w:color="auto"/>
            </w:tcBorders>
            <w:shd w:val="clear" w:color="auto" w:fill="C2D69B" w:themeFill="accent3" w:themeFillTint="99"/>
            <w:vAlign w:val="center"/>
          </w:tcPr>
          <w:p w:rsidR="0003575D" w:rsidRPr="0003575D" w:rsidRDefault="0003575D">
            <w:pPr>
              <w:jc w:val="center"/>
              <w:rPr>
                <w:rFonts w:cstheme="minorHAnsi"/>
                <w:color w:val="000000"/>
                <w:sz w:val="16"/>
                <w:szCs w:val="20"/>
              </w:rPr>
            </w:pPr>
            <w:r w:rsidRPr="0003575D">
              <w:rPr>
                <w:rFonts w:cstheme="minorHAnsi"/>
                <w:color w:val="000000"/>
                <w:sz w:val="16"/>
                <w:szCs w:val="20"/>
              </w:rPr>
              <w:t>+</w:t>
            </w:r>
          </w:p>
        </w:tc>
        <w:tc>
          <w:tcPr>
            <w:tcW w:w="424" w:type="dxa"/>
            <w:tcBorders>
              <w:top w:val="single" w:sz="4" w:space="0" w:color="auto"/>
              <w:left w:val="nil"/>
              <w:bottom w:val="single" w:sz="4" w:space="0" w:color="auto"/>
              <w:right w:val="single" w:sz="4" w:space="0" w:color="auto"/>
            </w:tcBorders>
            <w:shd w:val="clear" w:color="auto" w:fill="C2D69B" w:themeFill="accent3" w:themeFillTint="99"/>
            <w:vAlign w:val="center"/>
          </w:tcPr>
          <w:p w:rsidR="0003575D" w:rsidRPr="0003575D" w:rsidRDefault="0003575D">
            <w:pPr>
              <w:jc w:val="center"/>
              <w:rPr>
                <w:rFonts w:cstheme="minorHAnsi"/>
                <w:color w:val="000000"/>
                <w:sz w:val="16"/>
                <w:szCs w:val="20"/>
              </w:rPr>
            </w:pPr>
            <w:r w:rsidRPr="0003575D">
              <w:rPr>
                <w:rFonts w:cstheme="minorHAnsi"/>
                <w:color w:val="000000"/>
                <w:sz w:val="16"/>
                <w:szCs w:val="20"/>
              </w:rPr>
              <w:t>+</w:t>
            </w:r>
          </w:p>
        </w:tc>
        <w:tc>
          <w:tcPr>
            <w:tcW w:w="424" w:type="dxa"/>
            <w:tcBorders>
              <w:top w:val="single" w:sz="4" w:space="0" w:color="auto"/>
              <w:left w:val="nil"/>
              <w:bottom w:val="single" w:sz="4" w:space="0" w:color="auto"/>
              <w:right w:val="single" w:sz="4" w:space="0" w:color="auto"/>
            </w:tcBorders>
            <w:shd w:val="clear" w:color="auto" w:fill="C2D69B" w:themeFill="accent3" w:themeFillTint="99"/>
            <w:vAlign w:val="center"/>
          </w:tcPr>
          <w:p w:rsidR="0003575D" w:rsidRPr="0003575D" w:rsidRDefault="0003575D">
            <w:pPr>
              <w:jc w:val="center"/>
              <w:rPr>
                <w:rFonts w:cstheme="minorHAnsi"/>
                <w:color w:val="000000"/>
                <w:sz w:val="16"/>
                <w:szCs w:val="20"/>
              </w:rPr>
            </w:pPr>
            <w:r w:rsidRPr="0003575D">
              <w:rPr>
                <w:rFonts w:cstheme="minorHAnsi"/>
                <w:color w:val="000000"/>
                <w:sz w:val="16"/>
                <w:szCs w:val="20"/>
              </w:rPr>
              <w:t>+</w:t>
            </w:r>
          </w:p>
        </w:tc>
        <w:tc>
          <w:tcPr>
            <w:tcW w:w="424" w:type="dxa"/>
            <w:tcBorders>
              <w:top w:val="single" w:sz="4" w:space="0" w:color="auto"/>
              <w:left w:val="nil"/>
              <w:bottom w:val="single" w:sz="4" w:space="0" w:color="auto"/>
              <w:right w:val="single" w:sz="4" w:space="0" w:color="auto"/>
            </w:tcBorders>
            <w:shd w:val="clear" w:color="auto" w:fill="C2D69B" w:themeFill="accent3" w:themeFillTint="99"/>
            <w:vAlign w:val="center"/>
          </w:tcPr>
          <w:p w:rsidR="0003575D" w:rsidRPr="0003575D" w:rsidRDefault="0003575D">
            <w:pPr>
              <w:jc w:val="center"/>
              <w:rPr>
                <w:rFonts w:cstheme="minorHAnsi"/>
                <w:color w:val="000000"/>
                <w:sz w:val="16"/>
                <w:szCs w:val="20"/>
              </w:rPr>
            </w:pPr>
            <w:r w:rsidRPr="0003575D">
              <w:rPr>
                <w:rFonts w:cstheme="minorHAnsi"/>
                <w:color w:val="000000"/>
                <w:sz w:val="16"/>
                <w:szCs w:val="20"/>
              </w:rPr>
              <w:t>+</w:t>
            </w:r>
          </w:p>
        </w:tc>
        <w:tc>
          <w:tcPr>
            <w:tcW w:w="3092" w:type="dxa"/>
            <w:tcBorders>
              <w:top w:val="single" w:sz="4" w:space="0" w:color="auto"/>
              <w:left w:val="nil"/>
              <w:bottom w:val="single" w:sz="4" w:space="0" w:color="auto"/>
              <w:right w:val="single" w:sz="4" w:space="0" w:color="auto"/>
            </w:tcBorders>
            <w:shd w:val="clear" w:color="000000" w:fill="FFFFFF"/>
            <w:vAlign w:val="center"/>
          </w:tcPr>
          <w:p w:rsidR="0003575D" w:rsidRPr="0003575D" w:rsidRDefault="0003575D">
            <w:pPr>
              <w:rPr>
                <w:rFonts w:cstheme="minorHAnsi"/>
                <w:b/>
                <w:bCs/>
                <w:sz w:val="16"/>
                <w:szCs w:val="20"/>
              </w:rPr>
            </w:pPr>
            <w:r w:rsidRPr="0003575D">
              <w:rPr>
                <w:rFonts w:cstheme="minorHAnsi"/>
                <w:b/>
                <w:bCs/>
                <w:sz w:val="16"/>
                <w:szCs w:val="20"/>
              </w:rPr>
              <w:t>Level 3:</w:t>
            </w:r>
            <w:r w:rsidRPr="0003575D">
              <w:rPr>
                <w:rFonts w:cstheme="minorHAnsi"/>
                <w:sz w:val="16"/>
                <w:szCs w:val="20"/>
              </w:rPr>
              <w:t xml:space="preserve"> Access to the site is deemed to be acceptable subject to some improvements. A small portion of the site to the east is located within Flood Zones 3a and 3b. Surface water flooding is found within the centre of the site but this is only slight. This site has a strong contribution towards the character and appearance of the area. Within the Heritage Impact Assessment 2016 it is identified that the conversion of the historic mill buildings, the demolition of the buildings of neutral or negative heritage interest and the redevelopment of the site has the potential to deliver Large Beneficial Impacts on the setting of the Conservation Area. Within the Employment Land Review it is recommended that the site is allocated for mixed use opportunity, therefore although there will be some loss of employment space some will be retained through a mixed use development. The site is located on the opposite side of the railway lines and is a brownfield site. </w:t>
            </w:r>
          </w:p>
        </w:tc>
        <w:tc>
          <w:tcPr>
            <w:tcW w:w="1576" w:type="dxa"/>
            <w:tcBorders>
              <w:top w:val="single" w:sz="4" w:space="0" w:color="auto"/>
              <w:left w:val="nil"/>
              <w:bottom w:val="single" w:sz="4" w:space="0" w:color="auto"/>
              <w:right w:val="single" w:sz="4" w:space="0" w:color="auto"/>
            </w:tcBorders>
            <w:shd w:val="clear" w:color="000000" w:fill="FFFFFF"/>
            <w:vAlign w:val="center"/>
          </w:tcPr>
          <w:p w:rsidR="0003575D" w:rsidRPr="0003575D" w:rsidRDefault="0003575D">
            <w:pPr>
              <w:jc w:val="center"/>
              <w:rPr>
                <w:rFonts w:cstheme="minorHAnsi"/>
                <w:color w:val="000000"/>
                <w:sz w:val="16"/>
                <w:szCs w:val="20"/>
              </w:rPr>
            </w:pPr>
            <w:r w:rsidRPr="0003575D">
              <w:rPr>
                <w:rFonts w:cstheme="minorHAnsi"/>
                <w:color w:val="000000"/>
                <w:sz w:val="16"/>
                <w:szCs w:val="20"/>
              </w:rPr>
              <w:t>1b, 2, 5a, 5b,  6, 7, 8 &amp; 9</w:t>
            </w:r>
          </w:p>
        </w:tc>
      </w:tr>
    </w:tbl>
    <w:p w:rsidR="00CD432F" w:rsidRDefault="00CD432F"/>
    <w:p w:rsidR="006D28F1" w:rsidRPr="008945B2" w:rsidRDefault="006D28F1" w:rsidP="006D28F1">
      <w:pPr>
        <w:jc w:val="both"/>
      </w:pPr>
      <w:r w:rsidRPr="00C1109B">
        <w:rPr>
          <w:b/>
          <w:i/>
        </w:rPr>
        <w:lastRenderedPageBreak/>
        <w:t>Result:</w:t>
      </w:r>
      <w:r w:rsidRPr="00C1109B">
        <w:t xml:space="preserve"> Site </w:t>
      </w:r>
      <w:r>
        <w:t xml:space="preserve">performs satisfactorily in the Sustainability Analysis. The site </w:t>
      </w:r>
      <w:r w:rsidRPr="00C1109B">
        <w:t>is</w:t>
      </w:r>
      <w:r>
        <w:rPr>
          <w:b/>
        </w:rPr>
        <w:t xml:space="preserve"> </w:t>
      </w:r>
      <w:r w:rsidRPr="00C1109B">
        <w:t xml:space="preserve">deemed sustainable </w:t>
      </w:r>
      <w:r>
        <w:t xml:space="preserve">in order </w:t>
      </w:r>
      <w:r w:rsidRPr="00C1109B">
        <w:t xml:space="preserve">to enter the </w:t>
      </w:r>
      <w:r w:rsidRPr="00C1109B">
        <w:rPr>
          <w:b/>
        </w:rPr>
        <w:t>Pool of Sites</w:t>
      </w:r>
      <w:r>
        <w:t xml:space="preserve"> (with mitigation measures and recommendations). The site i</w:t>
      </w:r>
      <w:r w:rsidRPr="00C1109B">
        <w:t>s a candidate for the Pr</w:t>
      </w:r>
      <w:r>
        <w:t xml:space="preserve">eferred Sites list for Cononley, subject to Stage 2 analysis below, and also a possible comparison of the site’s merits with other sustainable sites in Cononley if a surplus of sites exists. </w:t>
      </w:r>
    </w:p>
    <w:p w:rsidR="006D28F1" w:rsidRDefault="006D28F1" w:rsidP="00A835EE">
      <w:pPr>
        <w:rPr>
          <w:b/>
          <w:sz w:val="24"/>
          <w:szCs w:val="24"/>
          <w:highlight w:val="yellow"/>
          <w:u w:val="single"/>
        </w:rPr>
      </w:pPr>
    </w:p>
    <w:p w:rsidR="00A835EE" w:rsidRPr="00FE5EFB" w:rsidRDefault="00A835EE" w:rsidP="00A835EE">
      <w:pPr>
        <w:rPr>
          <w:b/>
          <w:sz w:val="24"/>
          <w:szCs w:val="24"/>
          <w:u w:val="single"/>
        </w:rPr>
      </w:pPr>
      <w:r w:rsidRPr="00FE5EFB">
        <w:rPr>
          <w:b/>
          <w:sz w:val="24"/>
          <w:szCs w:val="24"/>
          <w:u w:val="single"/>
        </w:rPr>
        <w:t>Stage 2: District Level Analysis</w:t>
      </w:r>
    </w:p>
    <w:p w:rsidR="00A835EE" w:rsidRPr="00FE5EFB" w:rsidRDefault="00A835EE" w:rsidP="00A835EE">
      <w:pPr>
        <w:pStyle w:val="ListParagraph"/>
        <w:numPr>
          <w:ilvl w:val="0"/>
          <w:numId w:val="7"/>
        </w:numPr>
      </w:pPr>
      <w:r w:rsidRPr="00FE5EFB">
        <w:t>Viability of Affordable Housing Provision</w:t>
      </w:r>
    </w:p>
    <w:tbl>
      <w:tblPr>
        <w:tblStyle w:val="TableGrid"/>
        <w:tblW w:w="14283" w:type="dxa"/>
        <w:tblLook w:val="04A0" w:firstRow="1" w:lastRow="0" w:firstColumn="1" w:lastColumn="0" w:noHBand="0" w:noVBand="1"/>
      </w:tblPr>
      <w:tblGrid>
        <w:gridCol w:w="13008"/>
        <w:gridCol w:w="1275"/>
      </w:tblGrid>
      <w:tr w:rsidR="00A835EE" w:rsidRPr="00A835EE" w:rsidTr="0056329F">
        <w:tc>
          <w:tcPr>
            <w:tcW w:w="13008" w:type="dxa"/>
          </w:tcPr>
          <w:p w:rsidR="00A835EE" w:rsidRPr="00FE5EFB" w:rsidRDefault="00A835EE" w:rsidP="0056329F">
            <w:pPr>
              <w:numPr>
                <w:ilvl w:val="0"/>
                <w:numId w:val="3"/>
              </w:numPr>
              <w:contextualSpacing/>
            </w:pPr>
            <w:r w:rsidRPr="00FE5EFB">
              <w:t>The site is likely to deliver 11 or more dwellings (irrespective of being in a designated rural area or not). Affordable housing on site is obtained.</w:t>
            </w:r>
          </w:p>
        </w:tc>
        <w:tc>
          <w:tcPr>
            <w:tcW w:w="1275" w:type="dxa"/>
          </w:tcPr>
          <w:p w:rsidR="00A835EE" w:rsidRPr="00A835EE" w:rsidRDefault="00FE5EFB" w:rsidP="0056329F">
            <w:pPr>
              <w:jc w:val="center"/>
              <w:rPr>
                <w:b/>
                <w:highlight w:val="yellow"/>
              </w:rPr>
            </w:pPr>
            <w:r w:rsidRPr="00FE5EFB">
              <w:rPr>
                <w:b/>
              </w:rPr>
              <w:t>Yes</w:t>
            </w:r>
          </w:p>
        </w:tc>
      </w:tr>
      <w:tr w:rsidR="00A835EE" w:rsidRPr="00A835EE" w:rsidTr="0056329F">
        <w:tc>
          <w:tcPr>
            <w:tcW w:w="13008" w:type="dxa"/>
          </w:tcPr>
          <w:p w:rsidR="00A835EE" w:rsidRPr="00FE5EFB" w:rsidRDefault="00A835EE" w:rsidP="0056329F">
            <w:pPr>
              <w:numPr>
                <w:ilvl w:val="0"/>
                <w:numId w:val="3"/>
              </w:numPr>
              <w:contextualSpacing/>
            </w:pPr>
            <w:r w:rsidRPr="00FE5EFB">
              <w:t>The site is in a designated rural area, and is likely to deliver 6 or more dwellings. A financial contribution towards affordable housing is obtained.</w:t>
            </w:r>
          </w:p>
        </w:tc>
        <w:tc>
          <w:tcPr>
            <w:tcW w:w="1275" w:type="dxa"/>
          </w:tcPr>
          <w:p w:rsidR="00A835EE" w:rsidRPr="00A835EE" w:rsidRDefault="00A835EE" w:rsidP="0056329F">
            <w:pPr>
              <w:jc w:val="center"/>
              <w:rPr>
                <w:b/>
                <w:highlight w:val="yellow"/>
              </w:rPr>
            </w:pPr>
          </w:p>
        </w:tc>
      </w:tr>
      <w:tr w:rsidR="00A835EE" w:rsidRPr="00A835EE" w:rsidTr="0056329F">
        <w:tc>
          <w:tcPr>
            <w:tcW w:w="13008" w:type="dxa"/>
          </w:tcPr>
          <w:p w:rsidR="00A835EE" w:rsidRPr="00FE5EFB" w:rsidRDefault="00A835EE" w:rsidP="0056329F">
            <w:pPr>
              <w:numPr>
                <w:ilvl w:val="0"/>
                <w:numId w:val="3"/>
              </w:numPr>
              <w:contextualSpacing/>
            </w:pPr>
            <w:r w:rsidRPr="00FE5EFB">
              <w:t xml:space="preserve">The site is unlikely to deliver affordable housing (either less than 11 dwellings is likely and the site is not in a designated rural area, or less than six dwellings is likely in a designated rural area). </w:t>
            </w:r>
          </w:p>
        </w:tc>
        <w:tc>
          <w:tcPr>
            <w:tcW w:w="1275" w:type="dxa"/>
          </w:tcPr>
          <w:p w:rsidR="00A835EE" w:rsidRPr="00A835EE" w:rsidRDefault="00A835EE" w:rsidP="0056329F">
            <w:pPr>
              <w:jc w:val="center"/>
              <w:rPr>
                <w:b/>
                <w:highlight w:val="yellow"/>
              </w:rPr>
            </w:pPr>
          </w:p>
        </w:tc>
      </w:tr>
    </w:tbl>
    <w:p w:rsidR="00A835EE" w:rsidRPr="00A835EE" w:rsidRDefault="00A835EE" w:rsidP="00A835EE">
      <w:pPr>
        <w:rPr>
          <w:highlight w:val="yellow"/>
        </w:rPr>
      </w:pPr>
    </w:p>
    <w:p w:rsidR="00A835EE" w:rsidRPr="00FE5EFB" w:rsidRDefault="00A835EE" w:rsidP="00A835EE">
      <w:pPr>
        <w:pStyle w:val="ListParagraph"/>
        <w:numPr>
          <w:ilvl w:val="0"/>
          <w:numId w:val="7"/>
        </w:numPr>
      </w:pPr>
      <w:r w:rsidRPr="00FE5EFB">
        <w:t>Site Proximity to Designated Landscape Features</w:t>
      </w:r>
    </w:p>
    <w:tbl>
      <w:tblPr>
        <w:tblStyle w:val="TableGrid"/>
        <w:tblW w:w="14425" w:type="dxa"/>
        <w:tblLook w:val="04A0" w:firstRow="1" w:lastRow="0" w:firstColumn="1" w:lastColumn="0" w:noHBand="0" w:noVBand="1"/>
      </w:tblPr>
      <w:tblGrid>
        <w:gridCol w:w="13008"/>
        <w:gridCol w:w="1417"/>
      </w:tblGrid>
      <w:tr w:rsidR="00A835EE" w:rsidRPr="006D28F1" w:rsidTr="0056329F">
        <w:tc>
          <w:tcPr>
            <w:tcW w:w="13008" w:type="dxa"/>
          </w:tcPr>
          <w:p w:rsidR="00A835EE" w:rsidRPr="006D28F1" w:rsidRDefault="00A835EE" w:rsidP="0056329F">
            <w:pPr>
              <w:numPr>
                <w:ilvl w:val="0"/>
                <w:numId w:val="4"/>
              </w:numPr>
              <w:contextualSpacing/>
              <w:jc w:val="both"/>
            </w:pPr>
            <w:r w:rsidRPr="006D28F1">
              <w:t xml:space="preserve">Site is likely to have potential to harm the special qualities of the designated landscapes of the YDNP or the AONB, and any harm cannot be </w:t>
            </w:r>
            <w:proofErr w:type="gramStart"/>
            <w:r w:rsidRPr="006D28F1">
              <w:t>mitigated</w:t>
            </w:r>
            <w:proofErr w:type="gramEnd"/>
            <w:r w:rsidRPr="006D28F1">
              <w:t xml:space="preserve"> against.</w:t>
            </w:r>
          </w:p>
          <w:p w:rsidR="00A835EE" w:rsidRPr="006D28F1" w:rsidRDefault="00A835EE" w:rsidP="0056329F"/>
        </w:tc>
        <w:tc>
          <w:tcPr>
            <w:tcW w:w="1417" w:type="dxa"/>
          </w:tcPr>
          <w:p w:rsidR="00A835EE" w:rsidRPr="006D28F1" w:rsidRDefault="006D28F1" w:rsidP="0056329F">
            <w:pPr>
              <w:jc w:val="center"/>
              <w:rPr>
                <w:b/>
              </w:rPr>
            </w:pPr>
            <w:r>
              <w:rPr>
                <w:b/>
              </w:rPr>
              <w:t>No</w:t>
            </w:r>
          </w:p>
        </w:tc>
      </w:tr>
      <w:tr w:rsidR="00A835EE" w:rsidRPr="006D28F1" w:rsidTr="0056329F">
        <w:tc>
          <w:tcPr>
            <w:tcW w:w="13008" w:type="dxa"/>
          </w:tcPr>
          <w:p w:rsidR="00A835EE" w:rsidRPr="006D28F1" w:rsidRDefault="00A835EE" w:rsidP="0056329F">
            <w:pPr>
              <w:numPr>
                <w:ilvl w:val="0"/>
                <w:numId w:val="4"/>
              </w:numPr>
              <w:contextualSpacing/>
            </w:pPr>
            <w:r w:rsidRPr="006D28F1">
              <w:t>The location of the site in the context of the settlement (i.e. north-west, central, south-east, etc.; this gives an indication of relative proximity to YDNP or AONB, whichever is the nearest).</w:t>
            </w:r>
          </w:p>
        </w:tc>
        <w:tc>
          <w:tcPr>
            <w:tcW w:w="1417" w:type="dxa"/>
          </w:tcPr>
          <w:p w:rsidR="00A835EE" w:rsidRPr="006D28F1" w:rsidRDefault="006D28F1" w:rsidP="0056329F">
            <w:pPr>
              <w:jc w:val="center"/>
              <w:rPr>
                <w:b/>
              </w:rPr>
            </w:pPr>
            <w:r w:rsidRPr="006D28F1">
              <w:rPr>
                <w:b/>
              </w:rPr>
              <w:t>East</w:t>
            </w:r>
          </w:p>
        </w:tc>
      </w:tr>
    </w:tbl>
    <w:p w:rsidR="00A835EE" w:rsidRPr="006D28F1" w:rsidRDefault="00A835EE" w:rsidP="00A835EE">
      <w:pPr>
        <w:ind w:left="720"/>
        <w:contextualSpacing/>
      </w:pPr>
    </w:p>
    <w:p w:rsidR="00A835EE" w:rsidRPr="006D28F1" w:rsidRDefault="00A835EE" w:rsidP="00A835EE">
      <w:pPr>
        <w:ind w:left="720"/>
        <w:contextualSpacing/>
      </w:pPr>
    </w:p>
    <w:p w:rsidR="00A835EE" w:rsidRPr="006D28F1" w:rsidRDefault="00A835EE" w:rsidP="00A835EE">
      <w:pPr>
        <w:numPr>
          <w:ilvl w:val="0"/>
          <w:numId w:val="7"/>
        </w:numPr>
        <w:ind w:left="720" w:hanging="360"/>
        <w:contextualSpacing/>
      </w:pPr>
      <w:r w:rsidRPr="006D28F1">
        <w:t>Site Proximity to Designated Natural Environment Features</w:t>
      </w:r>
    </w:p>
    <w:p w:rsidR="00A835EE" w:rsidRPr="006D28F1" w:rsidRDefault="00A835EE" w:rsidP="00A835EE">
      <w:pPr>
        <w:ind w:left="720"/>
        <w:contextualSpacing/>
        <w:rPr>
          <w:b/>
        </w:rPr>
      </w:pPr>
    </w:p>
    <w:tbl>
      <w:tblPr>
        <w:tblStyle w:val="TableGrid"/>
        <w:tblW w:w="14425" w:type="dxa"/>
        <w:tblLook w:val="04A0" w:firstRow="1" w:lastRow="0" w:firstColumn="1" w:lastColumn="0" w:noHBand="0" w:noVBand="1"/>
      </w:tblPr>
      <w:tblGrid>
        <w:gridCol w:w="13008"/>
        <w:gridCol w:w="1417"/>
      </w:tblGrid>
      <w:tr w:rsidR="00A835EE" w:rsidRPr="006D28F1" w:rsidTr="0056329F">
        <w:tc>
          <w:tcPr>
            <w:tcW w:w="13008" w:type="dxa"/>
          </w:tcPr>
          <w:p w:rsidR="00A835EE" w:rsidRPr="006D28F1" w:rsidRDefault="00A835EE" w:rsidP="0056329F">
            <w:pPr>
              <w:numPr>
                <w:ilvl w:val="0"/>
                <w:numId w:val="5"/>
              </w:numPr>
              <w:contextualSpacing/>
              <w:jc w:val="both"/>
            </w:pPr>
            <w:r w:rsidRPr="006D28F1">
              <w:t xml:space="preserve">Site is likely to have potential to harm the special qualities of the designated landscapes of the SPA, SAC or </w:t>
            </w:r>
            <w:proofErr w:type="spellStart"/>
            <w:r w:rsidRPr="006D28F1">
              <w:t>Ramsar</w:t>
            </w:r>
            <w:proofErr w:type="spellEnd"/>
            <w:r w:rsidRPr="006D28F1">
              <w:t xml:space="preserve">, and any harm cannot be </w:t>
            </w:r>
            <w:proofErr w:type="gramStart"/>
            <w:r w:rsidRPr="006D28F1">
              <w:t>mitigated</w:t>
            </w:r>
            <w:proofErr w:type="gramEnd"/>
            <w:r w:rsidRPr="006D28F1">
              <w:t xml:space="preserve"> against.</w:t>
            </w:r>
          </w:p>
          <w:p w:rsidR="00A835EE" w:rsidRPr="006D28F1" w:rsidRDefault="00A835EE" w:rsidP="0056329F"/>
        </w:tc>
        <w:tc>
          <w:tcPr>
            <w:tcW w:w="1417" w:type="dxa"/>
          </w:tcPr>
          <w:p w:rsidR="00A835EE" w:rsidRPr="006D28F1" w:rsidRDefault="006D28F1" w:rsidP="0056329F">
            <w:pPr>
              <w:jc w:val="center"/>
              <w:rPr>
                <w:b/>
              </w:rPr>
            </w:pPr>
            <w:r>
              <w:rPr>
                <w:b/>
              </w:rPr>
              <w:t>No</w:t>
            </w:r>
          </w:p>
        </w:tc>
      </w:tr>
      <w:tr w:rsidR="00A835EE" w:rsidRPr="00A835EE" w:rsidTr="0056329F">
        <w:tc>
          <w:tcPr>
            <w:tcW w:w="13008" w:type="dxa"/>
          </w:tcPr>
          <w:p w:rsidR="00A835EE" w:rsidRPr="006D28F1" w:rsidRDefault="00A835EE" w:rsidP="0056329F">
            <w:pPr>
              <w:numPr>
                <w:ilvl w:val="0"/>
                <w:numId w:val="5"/>
              </w:numPr>
              <w:contextualSpacing/>
            </w:pPr>
            <w:r w:rsidRPr="006D28F1">
              <w:lastRenderedPageBreak/>
              <w:t xml:space="preserve">The location of the site in the context of the settlement (i.e. north-west, central, south-east, etc.; this gives an indication of relative proximity to a SPA, SAC or </w:t>
            </w:r>
            <w:proofErr w:type="spellStart"/>
            <w:r w:rsidRPr="006D28F1">
              <w:t>Ramsar</w:t>
            </w:r>
            <w:proofErr w:type="spellEnd"/>
            <w:r w:rsidRPr="006D28F1">
              <w:t>, whichever is the nearest).</w:t>
            </w:r>
          </w:p>
        </w:tc>
        <w:tc>
          <w:tcPr>
            <w:tcW w:w="1417" w:type="dxa"/>
          </w:tcPr>
          <w:p w:rsidR="00A835EE" w:rsidRPr="006D28F1" w:rsidRDefault="006D28F1" w:rsidP="0056329F">
            <w:pPr>
              <w:jc w:val="center"/>
              <w:rPr>
                <w:b/>
              </w:rPr>
            </w:pPr>
            <w:r w:rsidRPr="006D28F1">
              <w:rPr>
                <w:b/>
              </w:rPr>
              <w:t>East</w:t>
            </w:r>
          </w:p>
        </w:tc>
      </w:tr>
    </w:tbl>
    <w:p w:rsidR="00A835EE" w:rsidRPr="00A835EE" w:rsidRDefault="00A835EE" w:rsidP="00A835EE">
      <w:pPr>
        <w:rPr>
          <w:highlight w:val="yellow"/>
        </w:rPr>
      </w:pPr>
    </w:p>
    <w:p w:rsidR="00A835EE" w:rsidRPr="00FE5EFB" w:rsidRDefault="00A835EE" w:rsidP="00A835EE">
      <w:pPr>
        <w:numPr>
          <w:ilvl w:val="0"/>
          <w:numId w:val="7"/>
        </w:numPr>
        <w:ind w:left="720" w:hanging="360"/>
        <w:contextualSpacing/>
      </w:pPr>
      <w:r w:rsidRPr="00FE5EFB">
        <w:t>Site Position in relation to Health &amp; Safety Executive (HSE) Zone</w:t>
      </w:r>
    </w:p>
    <w:p w:rsidR="00A835EE" w:rsidRPr="00A835EE" w:rsidRDefault="00A835EE" w:rsidP="00A835EE">
      <w:pPr>
        <w:ind w:left="720"/>
        <w:contextualSpacing/>
        <w:rPr>
          <w:b/>
          <w:highlight w:val="yellow"/>
        </w:rPr>
      </w:pPr>
    </w:p>
    <w:tbl>
      <w:tblPr>
        <w:tblStyle w:val="TableGrid"/>
        <w:tblW w:w="14425" w:type="dxa"/>
        <w:tblLook w:val="04A0" w:firstRow="1" w:lastRow="0" w:firstColumn="1" w:lastColumn="0" w:noHBand="0" w:noVBand="1"/>
      </w:tblPr>
      <w:tblGrid>
        <w:gridCol w:w="13008"/>
        <w:gridCol w:w="1417"/>
      </w:tblGrid>
      <w:tr w:rsidR="00A835EE" w:rsidRPr="00A835EE" w:rsidTr="0056329F">
        <w:tc>
          <w:tcPr>
            <w:tcW w:w="13008" w:type="dxa"/>
          </w:tcPr>
          <w:p w:rsidR="00A835EE" w:rsidRPr="00FE5EFB" w:rsidRDefault="00A835EE" w:rsidP="0056329F">
            <w:pPr>
              <w:numPr>
                <w:ilvl w:val="0"/>
                <w:numId w:val="2"/>
              </w:numPr>
              <w:contextualSpacing/>
            </w:pPr>
            <w:r w:rsidRPr="00FE5EFB">
              <w:t>The site lies in the outer Health &amp; Safety Executive zone, or not in an HSE zone.</w:t>
            </w:r>
          </w:p>
        </w:tc>
        <w:tc>
          <w:tcPr>
            <w:tcW w:w="1417" w:type="dxa"/>
          </w:tcPr>
          <w:p w:rsidR="00A835EE" w:rsidRPr="00A835EE" w:rsidRDefault="00FE5EFB" w:rsidP="0056329F">
            <w:pPr>
              <w:jc w:val="center"/>
              <w:rPr>
                <w:b/>
                <w:highlight w:val="yellow"/>
              </w:rPr>
            </w:pPr>
            <w:r w:rsidRPr="00FE5EFB">
              <w:rPr>
                <w:b/>
              </w:rPr>
              <w:t>Yes</w:t>
            </w:r>
          </w:p>
        </w:tc>
      </w:tr>
      <w:tr w:rsidR="00A835EE" w:rsidRPr="00A835EE" w:rsidTr="0056329F">
        <w:tc>
          <w:tcPr>
            <w:tcW w:w="13008" w:type="dxa"/>
          </w:tcPr>
          <w:p w:rsidR="00A835EE" w:rsidRPr="00FE5EFB" w:rsidRDefault="00A835EE" w:rsidP="0056329F">
            <w:pPr>
              <w:numPr>
                <w:ilvl w:val="0"/>
                <w:numId w:val="2"/>
              </w:numPr>
              <w:contextualSpacing/>
            </w:pPr>
            <w:r w:rsidRPr="00FE5EFB">
              <w:t>The site lies in the Health &amp; Safety Executive middle zone.</w:t>
            </w:r>
          </w:p>
        </w:tc>
        <w:tc>
          <w:tcPr>
            <w:tcW w:w="1417" w:type="dxa"/>
          </w:tcPr>
          <w:p w:rsidR="00A835EE" w:rsidRPr="00A835EE" w:rsidRDefault="00A835EE" w:rsidP="0056329F">
            <w:pPr>
              <w:jc w:val="center"/>
              <w:rPr>
                <w:highlight w:val="yellow"/>
              </w:rPr>
            </w:pPr>
          </w:p>
        </w:tc>
      </w:tr>
      <w:tr w:rsidR="00A835EE" w:rsidRPr="00A835EE" w:rsidTr="0056329F">
        <w:tc>
          <w:tcPr>
            <w:tcW w:w="13008" w:type="dxa"/>
          </w:tcPr>
          <w:p w:rsidR="00A835EE" w:rsidRPr="00FE5EFB" w:rsidRDefault="00A835EE" w:rsidP="0056329F">
            <w:pPr>
              <w:numPr>
                <w:ilvl w:val="0"/>
                <w:numId w:val="2"/>
              </w:numPr>
              <w:contextualSpacing/>
            </w:pPr>
            <w:r w:rsidRPr="00FE5EFB">
              <w:t>The site lies in the Health &amp; Safety Executive inner zone.</w:t>
            </w:r>
          </w:p>
        </w:tc>
        <w:tc>
          <w:tcPr>
            <w:tcW w:w="1417" w:type="dxa"/>
          </w:tcPr>
          <w:p w:rsidR="00A835EE" w:rsidRPr="00A835EE" w:rsidRDefault="00A835EE" w:rsidP="0056329F">
            <w:pPr>
              <w:jc w:val="center"/>
              <w:rPr>
                <w:highlight w:val="yellow"/>
              </w:rPr>
            </w:pPr>
          </w:p>
        </w:tc>
      </w:tr>
    </w:tbl>
    <w:p w:rsidR="00A835EE" w:rsidRPr="00A835EE" w:rsidRDefault="00A835EE" w:rsidP="00A835EE">
      <w:pPr>
        <w:rPr>
          <w:highlight w:val="yellow"/>
        </w:rPr>
      </w:pPr>
    </w:p>
    <w:p w:rsidR="00FE5EFB" w:rsidRPr="00FE5EFB" w:rsidRDefault="00A835EE" w:rsidP="00A835EE">
      <w:pPr>
        <w:jc w:val="both"/>
      </w:pPr>
      <w:r w:rsidRPr="00FE5EFB">
        <w:rPr>
          <w:b/>
          <w:i/>
        </w:rPr>
        <w:t>Result:</w:t>
      </w:r>
      <w:r w:rsidRPr="00FE5EFB">
        <w:rPr>
          <w:b/>
        </w:rPr>
        <w:t xml:space="preserve"> </w:t>
      </w:r>
      <w:r w:rsidRPr="00FE5EFB">
        <w:t xml:space="preserve">The site passes all four District Level Analyses. After a comparison with other Pool of Site options in </w:t>
      </w:r>
      <w:r w:rsidR="00FE5EFB" w:rsidRPr="00FE5EFB">
        <w:t>Cononley</w:t>
      </w:r>
      <w:r w:rsidRPr="00FE5EFB">
        <w:t xml:space="preserve">, the site </w:t>
      </w:r>
      <w:r w:rsidR="00FE5EFB" w:rsidRPr="00FE5EFB">
        <w:t xml:space="preserve">is </w:t>
      </w:r>
      <w:r w:rsidRPr="00FE5EFB">
        <w:t xml:space="preserve">considered suitable as one of the </w:t>
      </w:r>
      <w:r w:rsidRPr="00FE5EFB">
        <w:rPr>
          <w:b/>
        </w:rPr>
        <w:t>Preferred Sites</w:t>
      </w:r>
      <w:r w:rsidRPr="00FE5EFB">
        <w:t xml:space="preserve"> in this settlement. </w:t>
      </w:r>
    </w:p>
    <w:p w:rsidR="00A835EE" w:rsidRPr="00FE5EFB" w:rsidRDefault="00A835EE" w:rsidP="00A835EE">
      <w:pPr>
        <w:rPr>
          <w:b/>
          <w:sz w:val="24"/>
          <w:szCs w:val="24"/>
          <w:u w:val="single"/>
        </w:rPr>
      </w:pPr>
      <w:r w:rsidRPr="00FE5EFB">
        <w:rPr>
          <w:b/>
          <w:sz w:val="24"/>
          <w:szCs w:val="24"/>
          <w:u w:val="single"/>
        </w:rPr>
        <w:t xml:space="preserve">Narrative of Site Analysis </w:t>
      </w:r>
    </w:p>
    <w:p w:rsidR="00A835EE" w:rsidRPr="00BB065A" w:rsidRDefault="00FE5EFB" w:rsidP="00A835EE">
      <w:pPr>
        <w:jc w:val="both"/>
      </w:pPr>
      <w:r w:rsidRPr="00FE5EFB">
        <w:t>Site CN006</w:t>
      </w:r>
      <w:r w:rsidR="00A835EE" w:rsidRPr="00FE5EFB">
        <w:t xml:space="preserve"> has numerous positive aspects which </w:t>
      </w:r>
      <w:r w:rsidR="00A835EE" w:rsidRPr="00BB065A">
        <w:t xml:space="preserve">have determined the site’s selection as a Preferred Site. The site is situated </w:t>
      </w:r>
      <w:r w:rsidR="00BB065A" w:rsidRPr="00BB065A">
        <w:t xml:space="preserve">just out of </w:t>
      </w:r>
      <w:r w:rsidR="00A835EE" w:rsidRPr="00BB065A">
        <w:t xml:space="preserve">the centre of </w:t>
      </w:r>
      <w:r w:rsidR="00BB065A" w:rsidRPr="00BB065A">
        <w:t xml:space="preserve">Cononley’s </w:t>
      </w:r>
      <w:r w:rsidR="00A835EE" w:rsidRPr="00BB065A">
        <w:t>built up area, which allows easier access to the town’s services, and hence improving connectivity and reducing the need for tr</w:t>
      </w:r>
      <w:r w:rsidR="00BB065A">
        <w:t xml:space="preserve">avel. The site has an existing </w:t>
      </w:r>
      <w:r w:rsidR="00A835EE" w:rsidRPr="00BB065A">
        <w:t xml:space="preserve">access </w:t>
      </w:r>
      <w:r w:rsidR="00BB065A">
        <w:t>which would require some minor improvements</w:t>
      </w:r>
      <w:r w:rsidR="00A835EE" w:rsidRPr="00BB065A">
        <w:t>.</w:t>
      </w:r>
      <w:r w:rsidR="00A835EE" w:rsidRPr="00E0590C">
        <w:t xml:space="preserve"> The site has been used previously as </w:t>
      </w:r>
      <w:r w:rsidR="00E0590C" w:rsidRPr="00E0590C">
        <w:t>mill building</w:t>
      </w:r>
      <w:r w:rsidR="00A835EE" w:rsidRPr="00E0590C">
        <w:t>, and therefore it is a brownfield site which is suitable for development</w:t>
      </w:r>
      <w:r w:rsidR="00BB065A">
        <w:t xml:space="preserve"> and preferable over a </w:t>
      </w:r>
      <w:proofErr w:type="gramStart"/>
      <w:r w:rsidR="00BB065A">
        <w:t>greenfield</w:t>
      </w:r>
      <w:proofErr w:type="gramEnd"/>
      <w:r w:rsidR="00BB065A">
        <w:t xml:space="preserve"> site</w:t>
      </w:r>
      <w:r w:rsidR="00A835EE" w:rsidRPr="00E0590C">
        <w:t>.</w:t>
      </w:r>
      <w:r w:rsidR="00F114AC" w:rsidRPr="00F114AC">
        <w:t xml:space="preserve"> </w:t>
      </w:r>
      <w:r w:rsidR="00F114AC">
        <w:t xml:space="preserve">This settlement is roughly equidistant from the North Pennines and South Pennines SPAs &amp; SACs, and alone it is unlikely to have a significant influence on the designated areas, this site is located to the east of the settlement. There may be in-combination effects on the sensitive South Pennines SPA and SAC, taking into consideration further allocations in nearby Glusburn &amp; Crosshills. </w:t>
      </w:r>
      <w:r w:rsidR="00BB065A" w:rsidRPr="00BB065A">
        <w:t>T</w:t>
      </w:r>
      <w:r w:rsidR="00A835EE" w:rsidRPr="00BB065A">
        <w:t>he whole of the site area submitted to the SHLAA database can be utilised</w:t>
      </w:r>
      <w:r w:rsidR="00AF2FED">
        <w:t xml:space="preserve"> through redevelopment and conversion</w:t>
      </w:r>
      <w:r w:rsidR="00977634">
        <w:t>, there is also scope for some employment uses within the site</w:t>
      </w:r>
      <w:r w:rsidR="00ED2DBE">
        <w:t xml:space="preserve"> (1,445sqm)</w:t>
      </w:r>
      <w:r w:rsidR="00A835EE" w:rsidRPr="00BB065A">
        <w:t xml:space="preserve">. </w:t>
      </w:r>
    </w:p>
    <w:p w:rsidR="00A835EE" w:rsidRPr="00D81257" w:rsidRDefault="0098307A" w:rsidP="00A835EE">
      <w:pPr>
        <w:rPr>
          <w:b/>
        </w:rPr>
      </w:pPr>
      <w:r>
        <w:rPr>
          <w:b/>
          <w:i/>
        </w:rPr>
        <w:t>Approximate</w:t>
      </w:r>
      <w:r w:rsidR="00A835EE" w:rsidRPr="00315B13">
        <w:rPr>
          <w:b/>
          <w:i/>
        </w:rPr>
        <w:t xml:space="preserve"> Area</w:t>
      </w:r>
      <w:r w:rsidR="00A835EE" w:rsidRPr="00694597">
        <w:rPr>
          <w:b/>
          <w:i/>
        </w:rPr>
        <w:t>:</w:t>
      </w:r>
      <w:r w:rsidR="00A835EE" w:rsidRPr="00694597">
        <w:rPr>
          <w:b/>
        </w:rPr>
        <w:t xml:space="preserve"> </w:t>
      </w:r>
      <w:r w:rsidR="00ED2DBE">
        <w:t>2</w:t>
      </w:r>
      <w:r>
        <w:t>.2</w:t>
      </w:r>
      <w:r w:rsidR="00ED2DBE">
        <w:t xml:space="preserve"> </w:t>
      </w:r>
      <w:r w:rsidR="00A835EE" w:rsidRPr="00694597">
        <w:t>hectares (</w:t>
      </w:r>
      <w:r>
        <w:t>including approximately 0.15 hectares for B1 Use).</w:t>
      </w:r>
    </w:p>
    <w:p w:rsidR="00A835EE" w:rsidRPr="00A835EE" w:rsidRDefault="0098307A" w:rsidP="00A835EE">
      <w:pPr>
        <w:rPr>
          <w:b/>
          <w:highlight w:val="yellow"/>
        </w:rPr>
      </w:pPr>
      <w:r>
        <w:rPr>
          <w:b/>
          <w:i/>
        </w:rPr>
        <w:t>Approximate Number of Dwellings</w:t>
      </w:r>
      <w:r w:rsidR="00A835EE" w:rsidRPr="00813A2D">
        <w:rPr>
          <w:b/>
          <w:i/>
        </w:rPr>
        <w:t>:</w:t>
      </w:r>
      <w:r w:rsidR="00A835EE" w:rsidRPr="00813A2D">
        <w:rPr>
          <w:b/>
        </w:rPr>
        <w:t xml:space="preserve"> </w:t>
      </w:r>
      <w:r>
        <w:t>94 dwellings</w:t>
      </w:r>
    </w:p>
    <w:p w:rsidR="00A835EE" w:rsidRDefault="00BB065A" w:rsidP="00A835EE">
      <w:pPr>
        <w:rPr>
          <w:b/>
          <w:i/>
        </w:rPr>
      </w:pPr>
      <w:r>
        <w:rPr>
          <w:b/>
          <w:i/>
        </w:rPr>
        <w:t>Development Principles:</w:t>
      </w:r>
    </w:p>
    <w:p w:rsidR="005B1783" w:rsidRPr="005B1783" w:rsidRDefault="005B1783" w:rsidP="005B1783">
      <w:pPr>
        <w:numPr>
          <w:ilvl w:val="0"/>
          <w:numId w:val="10"/>
        </w:numPr>
        <w:ind w:left="425"/>
        <w:contextualSpacing/>
        <w:rPr>
          <w:rFonts w:eastAsia="Calibri" w:cstheme="minorHAnsi"/>
          <w:color w:val="000000" w:themeColor="text1"/>
        </w:rPr>
      </w:pPr>
      <w:r w:rsidRPr="005B1783">
        <w:rPr>
          <w:rFonts w:eastAsia="Calibri" w:cstheme="minorHAnsi"/>
          <w:color w:val="000000" w:themeColor="text1"/>
        </w:rPr>
        <w:t>The site is promoted as partly ‘employment led’ to ensure the delivery of the socio-</w:t>
      </w:r>
      <w:r>
        <w:rPr>
          <w:rFonts w:eastAsia="Calibri" w:cstheme="minorHAnsi"/>
          <w:color w:val="000000" w:themeColor="text1"/>
        </w:rPr>
        <w:t>economic objectives of the plan;</w:t>
      </w:r>
    </w:p>
    <w:p w:rsidR="005B1783" w:rsidRPr="005B1783" w:rsidRDefault="005B1783" w:rsidP="005B1783">
      <w:pPr>
        <w:ind w:left="425"/>
        <w:contextualSpacing/>
        <w:rPr>
          <w:rFonts w:eastAsia="Calibri" w:cstheme="minorHAnsi"/>
          <w:color w:val="000000" w:themeColor="text1"/>
        </w:rPr>
      </w:pPr>
    </w:p>
    <w:p w:rsidR="005B1783" w:rsidRPr="005B1783" w:rsidRDefault="005B1783" w:rsidP="005B1783">
      <w:pPr>
        <w:numPr>
          <w:ilvl w:val="0"/>
          <w:numId w:val="10"/>
        </w:numPr>
        <w:ind w:left="425"/>
        <w:contextualSpacing/>
        <w:rPr>
          <w:rFonts w:cstheme="minorHAnsi"/>
        </w:rPr>
      </w:pPr>
      <w:r w:rsidRPr="005B1783">
        <w:rPr>
          <w:rFonts w:cstheme="minorHAnsi"/>
        </w:rPr>
        <w:t xml:space="preserve">Conversion of the Mill and siting and design of development on the site to conserve the significance of heritage assets on and adjacent to the site and their settings (Undesignated heritage asset of </w:t>
      </w:r>
      <w:proofErr w:type="spellStart"/>
      <w:r w:rsidRPr="005B1783">
        <w:rPr>
          <w:rFonts w:cstheme="minorHAnsi"/>
        </w:rPr>
        <w:t>Cononley</w:t>
      </w:r>
      <w:proofErr w:type="spellEnd"/>
      <w:r w:rsidRPr="005B1783">
        <w:rPr>
          <w:rFonts w:cstheme="minorHAnsi"/>
        </w:rPr>
        <w:t xml:space="preserve"> Mill , Mill House and Mill Chimney and </w:t>
      </w:r>
      <w:proofErr w:type="spellStart"/>
      <w:r w:rsidRPr="005B1783">
        <w:rPr>
          <w:rFonts w:cstheme="minorHAnsi"/>
        </w:rPr>
        <w:t>Cononley</w:t>
      </w:r>
      <w:proofErr w:type="spellEnd"/>
      <w:r w:rsidRPr="005B1783">
        <w:rPr>
          <w:rFonts w:cstheme="minorHAnsi"/>
        </w:rPr>
        <w:t xml:space="preserve"> </w:t>
      </w:r>
      <w:r>
        <w:rPr>
          <w:rFonts w:cstheme="minorHAnsi"/>
        </w:rPr>
        <w:t>Conservation Area);</w:t>
      </w:r>
    </w:p>
    <w:p w:rsidR="005B1783" w:rsidRPr="005B1783" w:rsidRDefault="005B1783" w:rsidP="005B1783">
      <w:pPr>
        <w:ind w:left="720"/>
        <w:contextualSpacing/>
        <w:rPr>
          <w:rFonts w:cstheme="minorHAnsi"/>
        </w:rPr>
      </w:pPr>
    </w:p>
    <w:p w:rsidR="005B1783" w:rsidRPr="005B1783" w:rsidRDefault="005B1783" w:rsidP="005B1783">
      <w:pPr>
        <w:numPr>
          <w:ilvl w:val="0"/>
          <w:numId w:val="10"/>
        </w:numPr>
        <w:ind w:left="425"/>
        <w:contextualSpacing/>
        <w:rPr>
          <w:rFonts w:eastAsia="Calibri" w:cstheme="minorHAnsi"/>
        </w:rPr>
      </w:pPr>
      <w:r w:rsidRPr="005B1783">
        <w:rPr>
          <w:rFonts w:eastAsia="Calibri" w:cstheme="minorHAnsi"/>
        </w:rPr>
        <w:t>An assessment of the site’s archaeological interest will be required with appropriate mitigation incorporated into development proposals where necessary.</w:t>
      </w:r>
    </w:p>
    <w:p w:rsidR="005B1783" w:rsidRPr="005B1783" w:rsidRDefault="005B1783" w:rsidP="005B1783">
      <w:pPr>
        <w:rPr>
          <w:rFonts w:eastAsia="Calibri" w:cstheme="minorHAnsi"/>
        </w:rPr>
      </w:pPr>
    </w:p>
    <w:p w:rsidR="005B1783" w:rsidRPr="005B1783" w:rsidRDefault="005B1783" w:rsidP="005B1783">
      <w:pPr>
        <w:numPr>
          <w:ilvl w:val="0"/>
          <w:numId w:val="10"/>
        </w:numPr>
        <w:ind w:left="425"/>
        <w:contextualSpacing/>
        <w:rPr>
          <w:rFonts w:eastAsia="Calibri" w:cstheme="minorHAnsi"/>
          <w:color w:val="000000" w:themeColor="text1"/>
        </w:rPr>
      </w:pPr>
      <w:r w:rsidRPr="005B1783">
        <w:rPr>
          <w:rFonts w:cstheme="minorHAnsi"/>
        </w:rPr>
        <w:t xml:space="preserve">A fluvial flood risk hazard has been identified within the north-eastern part of the site.  </w:t>
      </w:r>
      <w:r w:rsidRPr="005B1783">
        <w:rPr>
          <w:rFonts w:eastAsia="Calibri" w:cstheme="minorHAnsi"/>
        </w:rPr>
        <w:t xml:space="preserve">Development proposals must therefore be supported by a Flood Risk Assessment and drainage strategy which has informed the design, layout and landscaping of the site. </w:t>
      </w:r>
      <w:r w:rsidRPr="005B1783">
        <w:rPr>
          <w:rFonts w:cstheme="minorHAnsi"/>
        </w:rPr>
        <w:t>Proposals will incorporate Sustainable Drainage Systems (</w:t>
      </w:r>
      <w:proofErr w:type="spellStart"/>
      <w:r w:rsidRPr="005B1783">
        <w:rPr>
          <w:rFonts w:cstheme="minorHAnsi"/>
        </w:rPr>
        <w:t>SuDS</w:t>
      </w:r>
      <w:proofErr w:type="spellEnd"/>
      <w:r w:rsidRPr="005B1783">
        <w:rPr>
          <w:rFonts w:cstheme="minorHAnsi"/>
        </w:rPr>
        <w:t>), where possible</w:t>
      </w:r>
      <w:r>
        <w:rPr>
          <w:rFonts w:cstheme="minorHAnsi"/>
        </w:rPr>
        <w:t>;</w:t>
      </w:r>
    </w:p>
    <w:p w:rsidR="005B1783" w:rsidRPr="005B1783" w:rsidRDefault="005B1783" w:rsidP="005B1783">
      <w:pPr>
        <w:ind w:left="425"/>
        <w:contextualSpacing/>
        <w:rPr>
          <w:rFonts w:cstheme="minorHAnsi"/>
        </w:rPr>
      </w:pPr>
    </w:p>
    <w:p w:rsidR="005B1783" w:rsidRPr="005B1783" w:rsidRDefault="005B1783" w:rsidP="005B1783">
      <w:pPr>
        <w:numPr>
          <w:ilvl w:val="0"/>
          <w:numId w:val="10"/>
        </w:numPr>
        <w:ind w:left="425"/>
        <w:contextualSpacing/>
        <w:rPr>
          <w:rFonts w:eastAsia="Calibri" w:cstheme="minorHAnsi"/>
          <w:color w:val="000000" w:themeColor="text1"/>
        </w:rPr>
      </w:pPr>
      <w:r w:rsidRPr="005B1783">
        <w:rPr>
          <w:rFonts w:eastAsia="Calibri" w:cstheme="minorHAnsi"/>
          <w:color w:val="000000" w:themeColor="text1"/>
        </w:rPr>
        <w:t>The site is in a prominent location. Development proposals should be carefully and sensitively designed to minimise visual impact on the character and appearance of the area, and include measures to minimise impacts on air quality, noise and light pollution</w:t>
      </w:r>
      <w:r>
        <w:rPr>
          <w:rFonts w:eastAsia="Calibri" w:cstheme="minorHAnsi"/>
          <w:color w:val="000000" w:themeColor="text1"/>
        </w:rPr>
        <w:t>;</w:t>
      </w:r>
    </w:p>
    <w:p w:rsidR="005B1783" w:rsidRPr="005B1783" w:rsidRDefault="005B1783" w:rsidP="005B1783">
      <w:pPr>
        <w:ind w:left="425"/>
        <w:contextualSpacing/>
        <w:rPr>
          <w:rFonts w:eastAsia="Calibri" w:cstheme="minorHAnsi"/>
          <w:color w:val="000000" w:themeColor="text1"/>
        </w:rPr>
      </w:pPr>
    </w:p>
    <w:p w:rsidR="005B1783" w:rsidRPr="005B1783" w:rsidRDefault="005B1783" w:rsidP="005B1783">
      <w:pPr>
        <w:numPr>
          <w:ilvl w:val="0"/>
          <w:numId w:val="10"/>
        </w:numPr>
        <w:ind w:left="425"/>
        <w:contextualSpacing/>
        <w:rPr>
          <w:rFonts w:eastAsia="Calibri" w:cstheme="minorHAnsi"/>
          <w:color w:val="000000" w:themeColor="text1"/>
        </w:rPr>
      </w:pPr>
      <w:r w:rsidRPr="005B1783">
        <w:rPr>
          <w:rFonts w:eastAsia="Calibri" w:cstheme="minorHAnsi"/>
          <w:color w:val="000000" w:themeColor="text1"/>
        </w:rPr>
        <w:t>The site has very good accessibility to key services and public transport; proposals for development shall maximise the opportunities for future occupiers to walk or cycle to most key services rath</w:t>
      </w:r>
      <w:r>
        <w:rPr>
          <w:rFonts w:eastAsia="Calibri" w:cstheme="minorHAnsi"/>
          <w:color w:val="000000" w:themeColor="text1"/>
        </w:rPr>
        <w:t>er than using a private vehicle;</w:t>
      </w:r>
    </w:p>
    <w:p w:rsidR="005B1783" w:rsidRPr="005B1783" w:rsidRDefault="005B1783" w:rsidP="005B1783">
      <w:pPr>
        <w:ind w:left="425"/>
        <w:contextualSpacing/>
        <w:rPr>
          <w:rFonts w:eastAsia="Calibri" w:cstheme="minorHAnsi"/>
          <w:color w:val="000000" w:themeColor="text1"/>
        </w:rPr>
      </w:pPr>
    </w:p>
    <w:p w:rsidR="005B1783" w:rsidRPr="005B1783" w:rsidRDefault="005B1783" w:rsidP="005B1783">
      <w:pPr>
        <w:numPr>
          <w:ilvl w:val="0"/>
          <w:numId w:val="10"/>
        </w:numPr>
        <w:spacing w:before="120" w:after="120"/>
        <w:ind w:left="425"/>
        <w:contextualSpacing/>
        <w:rPr>
          <w:rFonts w:eastAsia="Calibri" w:cstheme="minorHAnsi"/>
          <w:color w:val="000000" w:themeColor="text1"/>
        </w:rPr>
      </w:pPr>
      <w:r w:rsidRPr="005B1783">
        <w:rPr>
          <w:rFonts w:eastAsia="Calibri" w:cstheme="minorHAnsi"/>
          <w:color w:val="000000" w:themeColor="text1"/>
        </w:rPr>
        <w:t xml:space="preserve">Access to the site is </w:t>
      </w:r>
      <w:r>
        <w:rPr>
          <w:rFonts w:eastAsia="Calibri" w:cstheme="minorHAnsi"/>
          <w:color w:val="000000" w:themeColor="text1"/>
        </w:rPr>
        <w:t xml:space="preserve">to be gained from </w:t>
      </w:r>
      <w:proofErr w:type="spellStart"/>
      <w:r>
        <w:rPr>
          <w:rFonts w:eastAsia="Calibri" w:cstheme="minorHAnsi"/>
          <w:color w:val="000000" w:themeColor="text1"/>
        </w:rPr>
        <w:t>Cononley</w:t>
      </w:r>
      <w:proofErr w:type="spellEnd"/>
      <w:r>
        <w:rPr>
          <w:rFonts w:eastAsia="Calibri" w:cstheme="minorHAnsi"/>
          <w:color w:val="000000" w:themeColor="text1"/>
        </w:rPr>
        <w:t xml:space="preserve"> Lane;</w:t>
      </w:r>
      <w:bookmarkStart w:id="0" w:name="_GoBack"/>
      <w:bookmarkEnd w:id="0"/>
    </w:p>
    <w:p w:rsidR="005B1783" w:rsidRPr="005B1783" w:rsidRDefault="005B1783" w:rsidP="005B1783">
      <w:pPr>
        <w:spacing w:before="120" w:after="120"/>
        <w:ind w:left="425"/>
        <w:contextualSpacing/>
        <w:rPr>
          <w:rFonts w:eastAsia="Calibri" w:cstheme="minorHAnsi"/>
          <w:color w:val="000000" w:themeColor="text1"/>
        </w:rPr>
      </w:pPr>
    </w:p>
    <w:p w:rsidR="005B1783" w:rsidRPr="005B1783" w:rsidRDefault="005B1783" w:rsidP="005B1783">
      <w:pPr>
        <w:numPr>
          <w:ilvl w:val="0"/>
          <w:numId w:val="10"/>
        </w:numPr>
        <w:spacing w:before="120"/>
        <w:ind w:left="425"/>
        <w:contextualSpacing/>
        <w:rPr>
          <w:rFonts w:eastAsia="Calibri" w:cstheme="minorHAnsi"/>
          <w:color w:val="000000" w:themeColor="text1"/>
        </w:rPr>
      </w:pPr>
      <w:r w:rsidRPr="005B1783">
        <w:rPr>
          <w:rFonts w:eastAsia="Calibri" w:cstheme="minorHAnsi"/>
          <w:color w:val="000000" w:themeColor="text1"/>
        </w:rPr>
        <w:t>Dev</w:t>
      </w:r>
      <w:r w:rsidRPr="005B1783">
        <w:rPr>
          <w:rFonts w:cstheme="minorHAnsi"/>
          <w:color w:val="000000" w:themeColor="text1"/>
        </w:rPr>
        <w:t xml:space="preserve">elopment proposals for this site must accord with </w:t>
      </w:r>
      <w:r w:rsidRPr="005B1783">
        <w:rPr>
          <w:rFonts w:cstheme="minorHAnsi"/>
          <w:bCs/>
          <w:color w:val="000000" w:themeColor="text1"/>
        </w:rPr>
        <w:t>local plan policies H2, INF3 and INF6 (which set out requirements for contributions towards affordable housing, education provision and sport, open space and recreation facilities) and all other</w:t>
      </w:r>
      <w:r w:rsidRPr="005B1783">
        <w:rPr>
          <w:rFonts w:cstheme="minorHAnsi"/>
          <w:color w:val="000000" w:themeColor="text1"/>
        </w:rPr>
        <w:t xml:space="preserve"> relevant local plan policies.</w:t>
      </w:r>
    </w:p>
    <w:p w:rsidR="00BB065A" w:rsidRDefault="00BB065A" w:rsidP="00A835EE"/>
    <w:p w:rsidR="00BB065A" w:rsidRPr="00BB065A" w:rsidRDefault="00BB065A" w:rsidP="00A835EE"/>
    <w:p w:rsidR="00C1109B" w:rsidRPr="00C1109B" w:rsidRDefault="00C1109B">
      <w:pPr>
        <w:rPr>
          <w:b/>
        </w:rPr>
      </w:pPr>
    </w:p>
    <w:sectPr w:rsidR="00C1109B" w:rsidRPr="00C1109B" w:rsidSect="00FC3903">
      <w:footerReference w:type="default" r:id="rId9"/>
      <w:pgSz w:w="16838" w:h="11906" w:orient="landscape"/>
      <w:pgMar w:top="1440" w:right="1440" w:bottom="1440" w:left="144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2BA4" w:rsidRDefault="00312BA4" w:rsidP="00FC3903">
      <w:pPr>
        <w:spacing w:after="0" w:line="240" w:lineRule="auto"/>
      </w:pPr>
      <w:r>
        <w:separator/>
      </w:r>
    </w:p>
  </w:endnote>
  <w:endnote w:type="continuationSeparator" w:id="0">
    <w:p w:rsidR="00312BA4" w:rsidRDefault="00312BA4" w:rsidP="00FC3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345697"/>
      <w:docPartObj>
        <w:docPartGallery w:val="Page Numbers (Bottom of Page)"/>
        <w:docPartUnique/>
      </w:docPartObj>
    </w:sdtPr>
    <w:sdtEndPr>
      <w:rPr>
        <w:noProof/>
      </w:rPr>
    </w:sdtEndPr>
    <w:sdtContent>
      <w:p w:rsidR="00FC3903" w:rsidRDefault="00FC3903">
        <w:pPr>
          <w:pStyle w:val="Footer"/>
          <w:jc w:val="center"/>
        </w:pPr>
        <w:r>
          <w:fldChar w:fldCharType="begin"/>
        </w:r>
        <w:r>
          <w:instrText xml:space="preserve"> PAGE   \* MERGEFORMAT </w:instrText>
        </w:r>
        <w:r>
          <w:fldChar w:fldCharType="separate"/>
        </w:r>
        <w:r w:rsidR="005B1783">
          <w:rPr>
            <w:noProof/>
          </w:rPr>
          <w:t>4</w:t>
        </w:r>
        <w:r>
          <w:rPr>
            <w:noProof/>
          </w:rPr>
          <w:fldChar w:fldCharType="end"/>
        </w:r>
      </w:p>
    </w:sdtContent>
  </w:sdt>
  <w:p w:rsidR="00FC3903" w:rsidRDefault="00FC39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2BA4" w:rsidRDefault="00312BA4" w:rsidP="00FC3903">
      <w:pPr>
        <w:spacing w:after="0" w:line="240" w:lineRule="auto"/>
      </w:pPr>
      <w:r>
        <w:separator/>
      </w:r>
    </w:p>
  </w:footnote>
  <w:footnote w:type="continuationSeparator" w:id="0">
    <w:p w:rsidR="00312BA4" w:rsidRDefault="00312BA4" w:rsidP="00FC39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46FBC"/>
    <w:multiLevelType w:val="hybridMultilevel"/>
    <w:tmpl w:val="812CF97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BEF7E8E"/>
    <w:multiLevelType w:val="hybridMultilevel"/>
    <w:tmpl w:val="C79E7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452535C"/>
    <w:multiLevelType w:val="hybridMultilevel"/>
    <w:tmpl w:val="74764818"/>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5CE256E"/>
    <w:multiLevelType w:val="hybridMultilevel"/>
    <w:tmpl w:val="17EAD1F6"/>
    <w:lvl w:ilvl="0" w:tplc="DE6ED0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CC27D7B"/>
    <w:multiLevelType w:val="hybridMultilevel"/>
    <w:tmpl w:val="3EEEA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34B2C23"/>
    <w:multiLevelType w:val="hybridMultilevel"/>
    <w:tmpl w:val="10BEC7A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7742106"/>
    <w:multiLevelType w:val="hybridMultilevel"/>
    <w:tmpl w:val="DBF858EE"/>
    <w:lvl w:ilvl="0" w:tplc="63C862E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04F1D1B"/>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6A4C2E6E"/>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7D754658"/>
    <w:multiLevelType w:val="hybridMultilevel"/>
    <w:tmpl w:val="E2D0C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7"/>
  </w:num>
  <w:num w:numId="6">
    <w:abstractNumId w:val="3"/>
  </w:num>
  <w:num w:numId="7">
    <w:abstractNumId w:val="6"/>
  </w:num>
  <w:num w:numId="8">
    <w:abstractNumId w:val="2"/>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32F"/>
    <w:rsid w:val="0003575D"/>
    <w:rsid w:val="000D020A"/>
    <w:rsid w:val="00192716"/>
    <w:rsid w:val="00192BF8"/>
    <w:rsid w:val="001B7854"/>
    <w:rsid w:val="001D4280"/>
    <w:rsid w:val="00234237"/>
    <w:rsid w:val="002B7391"/>
    <w:rsid w:val="002C0460"/>
    <w:rsid w:val="002D73E8"/>
    <w:rsid w:val="00312BA4"/>
    <w:rsid w:val="00315B13"/>
    <w:rsid w:val="0045266A"/>
    <w:rsid w:val="004E3847"/>
    <w:rsid w:val="0053462A"/>
    <w:rsid w:val="0054523D"/>
    <w:rsid w:val="005B1783"/>
    <w:rsid w:val="0064366D"/>
    <w:rsid w:val="00694597"/>
    <w:rsid w:val="006B71F2"/>
    <w:rsid w:val="006C2778"/>
    <w:rsid w:val="006D28F1"/>
    <w:rsid w:val="006D627D"/>
    <w:rsid w:val="00776515"/>
    <w:rsid w:val="007B36C8"/>
    <w:rsid w:val="007C4CD1"/>
    <w:rsid w:val="00813A2D"/>
    <w:rsid w:val="00824E02"/>
    <w:rsid w:val="008264EE"/>
    <w:rsid w:val="00834C80"/>
    <w:rsid w:val="008F2A7C"/>
    <w:rsid w:val="00923A14"/>
    <w:rsid w:val="009241D4"/>
    <w:rsid w:val="00952364"/>
    <w:rsid w:val="00977634"/>
    <w:rsid w:val="0098307A"/>
    <w:rsid w:val="009F0DA7"/>
    <w:rsid w:val="00A247DF"/>
    <w:rsid w:val="00A55A5D"/>
    <w:rsid w:val="00A835EE"/>
    <w:rsid w:val="00AF2FED"/>
    <w:rsid w:val="00B11693"/>
    <w:rsid w:val="00B729EF"/>
    <w:rsid w:val="00B8669D"/>
    <w:rsid w:val="00BB065A"/>
    <w:rsid w:val="00BB3680"/>
    <w:rsid w:val="00C1109B"/>
    <w:rsid w:val="00C4096E"/>
    <w:rsid w:val="00C751F1"/>
    <w:rsid w:val="00CD432F"/>
    <w:rsid w:val="00D81257"/>
    <w:rsid w:val="00DB7194"/>
    <w:rsid w:val="00DF2C20"/>
    <w:rsid w:val="00E0590C"/>
    <w:rsid w:val="00E22A10"/>
    <w:rsid w:val="00E67360"/>
    <w:rsid w:val="00ED2DBE"/>
    <w:rsid w:val="00F114AC"/>
    <w:rsid w:val="00F1543A"/>
    <w:rsid w:val="00F2287F"/>
    <w:rsid w:val="00F62E2A"/>
    <w:rsid w:val="00F71B65"/>
    <w:rsid w:val="00F75A2E"/>
    <w:rsid w:val="00F85A12"/>
    <w:rsid w:val="00FC3903"/>
    <w:rsid w:val="00FE5E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9991034">
      <w:bodyDiv w:val="1"/>
      <w:marLeft w:val="0"/>
      <w:marRight w:val="0"/>
      <w:marTop w:val="0"/>
      <w:marBottom w:val="0"/>
      <w:divBdr>
        <w:top w:val="none" w:sz="0" w:space="0" w:color="auto"/>
        <w:left w:val="none" w:sz="0" w:space="0" w:color="auto"/>
        <w:bottom w:val="none" w:sz="0" w:space="0" w:color="auto"/>
        <w:right w:val="none" w:sz="0" w:space="0" w:color="auto"/>
      </w:divBdr>
    </w:div>
    <w:div w:id="1268586552">
      <w:bodyDiv w:val="1"/>
      <w:marLeft w:val="0"/>
      <w:marRight w:val="0"/>
      <w:marTop w:val="0"/>
      <w:marBottom w:val="0"/>
      <w:divBdr>
        <w:top w:val="none" w:sz="0" w:space="0" w:color="auto"/>
        <w:left w:val="none" w:sz="0" w:space="0" w:color="auto"/>
        <w:bottom w:val="none" w:sz="0" w:space="0" w:color="auto"/>
        <w:right w:val="none" w:sz="0" w:space="0" w:color="auto"/>
      </w:divBdr>
    </w:div>
    <w:div w:id="1936329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76F0C-EAB3-4B8B-B252-22501362F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4</Pages>
  <Words>1021</Words>
  <Characters>5825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Feeney</dc:creator>
  <cp:lastModifiedBy>David Feeney</cp:lastModifiedBy>
  <cp:revision>41</cp:revision>
  <dcterms:created xsi:type="dcterms:W3CDTF">2017-02-21T07:58:00Z</dcterms:created>
  <dcterms:modified xsi:type="dcterms:W3CDTF">2019-11-11T11:33:00Z</dcterms:modified>
</cp:coreProperties>
</file>